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32BAD" w14:textId="704CA6EC" w:rsidR="003F5247" w:rsidRDefault="003F5247" w:rsidP="003F5247">
      <w:pPr>
        <w:tabs>
          <w:tab w:val="right" w:pos="9630"/>
        </w:tabs>
        <w:spacing w:after="0"/>
        <w:jc w:val="both"/>
        <w:rPr>
          <w:color w:val="000000"/>
          <w:lang w:val="en-US"/>
        </w:rPr>
      </w:pPr>
      <w:bookmarkStart w:id="0" w:name="_Hlk506565237"/>
      <w:r>
        <w:rPr>
          <w:rFonts w:ascii="Arial" w:hAnsi="Arial" w:cs="Arial"/>
          <w:b/>
          <w:color w:val="000000"/>
          <w:sz w:val="24"/>
        </w:rPr>
        <w:t>3GPP TSG RAN WG1 Meeting #9</w:t>
      </w:r>
      <w:r w:rsidR="00D50505">
        <w:rPr>
          <w:rFonts w:ascii="Arial" w:hAnsi="Arial" w:cs="Arial"/>
          <w:b/>
          <w:color w:val="000000"/>
          <w:sz w:val="24"/>
        </w:rPr>
        <w:t>8</w:t>
      </w:r>
      <w:r w:rsidR="00F476B3">
        <w:rPr>
          <w:rFonts w:ascii="Arial" w:hAnsi="Arial" w:cs="Arial"/>
          <w:b/>
          <w:color w:val="000000"/>
          <w:sz w:val="24"/>
        </w:rPr>
        <w:t>bis</w:t>
      </w:r>
      <w:r>
        <w:rPr>
          <w:rFonts w:ascii="Arial" w:hAnsi="Arial" w:cs="Arial"/>
          <w:b/>
          <w:color w:val="000000"/>
          <w:sz w:val="24"/>
        </w:rPr>
        <w:tab/>
      </w:r>
      <w:r w:rsidRPr="00165959">
        <w:rPr>
          <w:rFonts w:ascii="Arial" w:hAnsi="Arial" w:cs="Arial"/>
          <w:b/>
          <w:color w:val="000000"/>
          <w:sz w:val="24"/>
        </w:rPr>
        <w:t>R1-</w:t>
      </w:r>
      <w:r w:rsidR="00F476B3" w:rsidRPr="00165959">
        <w:rPr>
          <w:rFonts w:ascii="Arial" w:hAnsi="Arial" w:cs="Arial"/>
          <w:b/>
          <w:color w:val="000000"/>
          <w:sz w:val="24"/>
        </w:rPr>
        <w:t>19</w:t>
      </w:r>
      <w:r w:rsidR="004D3239">
        <w:rPr>
          <w:rFonts w:ascii="Arial" w:hAnsi="Arial" w:cs="Arial"/>
          <w:b/>
          <w:color w:val="000000"/>
          <w:sz w:val="24"/>
        </w:rPr>
        <w:t>11107</w:t>
      </w:r>
    </w:p>
    <w:p w14:paraId="32513C6C" w14:textId="38AF913F" w:rsidR="00F476B3" w:rsidRPr="00F476B3" w:rsidRDefault="004D3239" w:rsidP="0068521E">
      <w:pPr>
        <w:spacing w:after="0"/>
        <w:jc w:val="both"/>
        <w:rPr>
          <w:rFonts w:ascii="Arial" w:hAnsi="Arial" w:cs="Arial"/>
          <w:b/>
          <w:sz w:val="24"/>
          <w:szCs w:val="24"/>
        </w:rPr>
      </w:pPr>
      <w:r>
        <w:rPr>
          <w:rFonts w:ascii="Arial" w:eastAsia="MS Mincho" w:hAnsi="Arial" w:cs="Arial"/>
          <w:b/>
          <w:bCs/>
          <w:sz w:val="24"/>
          <w:szCs w:val="18"/>
          <w:lang w:eastAsia="ja-JP"/>
        </w:rPr>
        <w:t>Chongqing</w:t>
      </w:r>
      <w:r w:rsidRPr="00BC792E">
        <w:rPr>
          <w:rFonts w:ascii="Arial" w:eastAsia="MS Mincho" w:hAnsi="Arial" w:cs="Arial"/>
          <w:b/>
          <w:bCs/>
          <w:sz w:val="24"/>
          <w:szCs w:val="18"/>
          <w:lang w:eastAsia="ja-JP"/>
        </w:rPr>
        <w:t>, C</w:t>
      </w:r>
      <w:r>
        <w:rPr>
          <w:rFonts w:ascii="Arial" w:eastAsia="MS Mincho" w:hAnsi="Arial" w:cs="Arial"/>
          <w:b/>
          <w:bCs/>
          <w:sz w:val="24"/>
          <w:szCs w:val="18"/>
          <w:lang w:eastAsia="ja-JP"/>
        </w:rPr>
        <w:t>hina</w:t>
      </w:r>
      <w:r w:rsidRPr="00BC792E">
        <w:rPr>
          <w:rFonts w:ascii="Arial" w:eastAsia="MS Mincho" w:hAnsi="Arial" w:cs="Arial"/>
          <w:b/>
          <w:bCs/>
          <w:sz w:val="24"/>
          <w:szCs w:val="18"/>
          <w:lang w:eastAsia="ja-JP"/>
        </w:rPr>
        <w:t xml:space="preserve">, </w:t>
      </w:r>
      <w:r>
        <w:rPr>
          <w:rFonts w:ascii="Arial" w:eastAsia="MS Mincho" w:hAnsi="Arial" w:cs="Arial"/>
          <w:b/>
          <w:bCs/>
          <w:sz w:val="24"/>
          <w:szCs w:val="18"/>
          <w:lang w:eastAsia="ja-JP"/>
        </w:rPr>
        <w:t>October 14</w:t>
      </w:r>
      <w:r w:rsidRPr="00BC792E">
        <w:rPr>
          <w:rFonts w:ascii="Arial" w:eastAsia="MS Mincho" w:hAnsi="Arial" w:cs="Arial"/>
          <w:b/>
          <w:bCs/>
          <w:sz w:val="24"/>
          <w:szCs w:val="18"/>
          <w:vertAlign w:val="superscript"/>
          <w:lang w:eastAsia="ja-JP"/>
        </w:rPr>
        <w:t>th</w:t>
      </w:r>
      <w:r w:rsidRPr="00BC792E">
        <w:rPr>
          <w:rFonts w:ascii="Arial" w:eastAsia="MS Mincho" w:hAnsi="Arial" w:cs="Arial"/>
          <w:b/>
          <w:bCs/>
          <w:sz w:val="24"/>
          <w:szCs w:val="18"/>
          <w:lang w:eastAsia="ja-JP"/>
        </w:rPr>
        <w:t xml:space="preserve"> – </w:t>
      </w:r>
      <w:r>
        <w:rPr>
          <w:rFonts w:ascii="Arial" w:eastAsia="MS Mincho" w:hAnsi="Arial" w:cs="Arial"/>
          <w:b/>
          <w:bCs/>
          <w:sz w:val="24"/>
          <w:szCs w:val="18"/>
          <w:lang w:eastAsia="ja-JP"/>
        </w:rPr>
        <w:t>18</w:t>
      </w:r>
      <w:r w:rsidRPr="00BC792E">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xml:space="preserve">, </w:t>
      </w:r>
      <w:r w:rsidRPr="00BC792E">
        <w:rPr>
          <w:rFonts w:ascii="Arial" w:eastAsia="MS Mincho" w:hAnsi="Arial" w:cs="Arial"/>
          <w:b/>
          <w:bCs/>
          <w:sz w:val="24"/>
          <w:szCs w:val="18"/>
          <w:lang w:eastAsia="ja-JP"/>
        </w:rPr>
        <w:t>2019</w:t>
      </w:r>
    </w:p>
    <w:p w14:paraId="4B3B5ED2" w14:textId="77777777" w:rsidR="003F5247" w:rsidRDefault="003F5247" w:rsidP="003F5247">
      <w:pPr>
        <w:pStyle w:val="Title"/>
        <w:tabs>
          <w:tab w:val="left" w:pos="709"/>
          <w:tab w:val="right" w:pos="9639"/>
        </w:tabs>
        <w:wordWrap w:val="0"/>
        <w:spacing w:after="0"/>
        <w:ind w:right="120"/>
        <w:jc w:val="both"/>
        <w:rPr>
          <w:rFonts w:cs="Arial"/>
          <w:color w:val="000000"/>
          <w:lang w:val="en-GB" w:eastAsia="ja-JP"/>
        </w:rPr>
      </w:pPr>
    </w:p>
    <w:p w14:paraId="3FB1767B" w14:textId="0F314C61" w:rsidR="003F5247" w:rsidRDefault="003F5247" w:rsidP="003F5247">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r>
      <w:r w:rsidRPr="00077C50">
        <w:rPr>
          <w:rFonts w:ascii="Arial" w:hAnsi="Arial"/>
          <w:color w:val="000000"/>
          <w:sz w:val="24"/>
        </w:rPr>
        <w:t>7.</w:t>
      </w:r>
      <w:r w:rsidR="00DA3AAB">
        <w:rPr>
          <w:rFonts w:ascii="Arial" w:hAnsi="Arial"/>
          <w:color w:val="000000"/>
          <w:sz w:val="24"/>
        </w:rPr>
        <w:t>2</w:t>
      </w:r>
      <w:r w:rsidRPr="00077C50">
        <w:rPr>
          <w:rFonts w:ascii="Arial" w:hAnsi="Arial"/>
          <w:color w:val="000000"/>
          <w:sz w:val="24"/>
        </w:rPr>
        <w:t>.</w:t>
      </w:r>
      <w:r w:rsidR="00DA3AAB">
        <w:rPr>
          <w:rFonts w:ascii="Arial" w:hAnsi="Arial"/>
          <w:color w:val="000000"/>
          <w:sz w:val="24"/>
        </w:rPr>
        <w:t>4</w:t>
      </w:r>
      <w:r w:rsidRPr="00077C50">
        <w:rPr>
          <w:rFonts w:ascii="Arial" w:hAnsi="Arial"/>
          <w:color w:val="000000"/>
          <w:sz w:val="24"/>
        </w:rPr>
        <w:t>.</w:t>
      </w:r>
      <w:r w:rsidR="00DA3AAB">
        <w:rPr>
          <w:rFonts w:ascii="Arial" w:hAnsi="Arial"/>
          <w:color w:val="000000"/>
          <w:sz w:val="24"/>
        </w:rPr>
        <w:t>3</w:t>
      </w:r>
      <w:r>
        <w:rPr>
          <w:rFonts w:ascii="Arial" w:hAnsi="Arial"/>
          <w:color w:val="000000"/>
          <w:sz w:val="24"/>
        </w:rPr>
        <w:t xml:space="preserve"> </w:t>
      </w:r>
    </w:p>
    <w:p w14:paraId="161B1E82" w14:textId="77777777" w:rsidR="003F5247" w:rsidRDefault="003F5247" w:rsidP="003F5247">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96E2231" w14:textId="75EC22E9" w:rsidR="003F5247" w:rsidRPr="00A51804" w:rsidRDefault="003F5247" w:rsidP="003F5247">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911D12">
        <w:rPr>
          <w:rFonts w:ascii="Arial" w:hAnsi="Arial"/>
          <w:sz w:val="24"/>
          <w:szCs w:val="24"/>
        </w:rPr>
        <w:t>Synchronization Design for NR V2X</w:t>
      </w:r>
    </w:p>
    <w:p w14:paraId="012277CA" w14:textId="77777777" w:rsidR="003F5247" w:rsidRDefault="003F5247" w:rsidP="003F5247">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0D319D28" w14:textId="77777777" w:rsidR="00A917AE" w:rsidRPr="00677958" w:rsidRDefault="00A917AE" w:rsidP="00A917AE">
      <w:pPr>
        <w:pStyle w:val="Heading1"/>
        <w:numPr>
          <w:ilvl w:val="0"/>
          <w:numId w:val="1"/>
        </w:numPr>
        <w:jc w:val="both"/>
        <w:rPr>
          <w:rFonts w:cs="Arial"/>
          <w:lang w:eastAsia="zh-CN"/>
        </w:rPr>
      </w:pPr>
      <w:r>
        <w:rPr>
          <w:rFonts w:cs="Arial"/>
          <w:lang w:eastAsia="zh-CN"/>
        </w:rPr>
        <w:t>Introduction</w:t>
      </w:r>
    </w:p>
    <w:p w14:paraId="6F3DBB97" w14:textId="61A6A4ED" w:rsidR="005C0140" w:rsidRDefault="00FE73C4" w:rsidP="00A917AE">
      <w:pPr>
        <w:jc w:val="both"/>
        <w:rPr>
          <w:lang w:val="en-US"/>
        </w:rPr>
      </w:pPr>
      <w:r>
        <w:rPr>
          <w:lang w:val="en-US"/>
        </w:rPr>
        <w:t xml:space="preserve">In RAN1#96b, it was agreed that sidelink SSB has a bandwidth of 11 RBs, and 2 symbols are used for each of S-PSS and S-SSS. </w:t>
      </w:r>
      <w:r w:rsidR="005C0140">
        <w:rPr>
          <w:lang w:val="en-US"/>
        </w:rPr>
        <w:t>In RAN1#97</w:t>
      </w:r>
      <w:r w:rsidR="00FE2320">
        <w:rPr>
          <w:lang w:val="en-US"/>
        </w:rPr>
        <w:t xml:space="preserve"> and RAN1#98</w:t>
      </w:r>
      <w:r w:rsidR="005C0140">
        <w:rPr>
          <w:lang w:val="en-US"/>
        </w:rPr>
        <w:t xml:space="preserve">, </w:t>
      </w:r>
      <w:r w:rsidR="000344F3">
        <w:rPr>
          <w:lang w:val="en-US"/>
        </w:rPr>
        <w:t>more</w:t>
      </w:r>
      <w:r w:rsidR="005C0140">
        <w:rPr>
          <w:lang w:val="en-US"/>
        </w:rPr>
        <w:t xml:space="preserve"> agreements were further reached</w:t>
      </w:r>
      <w:r w:rsidR="00DA3AAB">
        <w:rPr>
          <w:lang w:val="en-US"/>
        </w:rPr>
        <w:t xml:space="preserve"> [1]</w:t>
      </w:r>
      <w:r w:rsidR="000344F3">
        <w:rPr>
          <w:lang w:val="en-US"/>
        </w:rPr>
        <w:t xml:space="preserve"> [2]</w:t>
      </w:r>
      <w:r w:rsidR="005C0140">
        <w:rPr>
          <w:lang w:val="en-US"/>
        </w:rPr>
        <w:t>.</w:t>
      </w:r>
    </w:p>
    <w:tbl>
      <w:tblPr>
        <w:tblStyle w:val="TableGrid"/>
        <w:tblW w:w="0" w:type="auto"/>
        <w:tblLook w:val="04A0" w:firstRow="1" w:lastRow="0" w:firstColumn="1" w:lastColumn="0" w:noHBand="0" w:noVBand="1"/>
      </w:tblPr>
      <w:tblGrid>
        <w:gridCol w:w="9350"/>
      </w:tblGrid>
      <w:tr w:rsidR="005C0140" w14:paraId="363AD210" w14:textId="77777777" w:rsidTr="005C0140">
        <w:tc>
          <w:tcPr>
            <w:tcW w:w="9350" w:type="dxa"/>
          </w:tcPr>
          <w:p w14:paraId="0A9D2675" w14:textId="77777777" w:rsidR="005C0140" w:rsidRPr="00426D88" w:rsidRDefault="005C0140" w:rsidP="005C0140">
            <w:pPr>
              <w:rPr>
                <w:highlight w:val="darkYellow"/>
              </w:rPr>
            </w:pPr>
            <w:r w:rsidRPr="00426D88">
              <w:rPr>
                <w:highlight w:val="darkYellow"/>
              </w:rPr>
              <w:t>Working assumption:</w:t>
            </w:r>
          </w:p>
          <w:p w14:paraId="49D8FAFE" w14:textId="77777777" w:rsidR="005C0140" w:rsidRPr="00426D88" w:rsidRDefault="005C0140" w:rsidP="007E2181">
            <w:pPr>
              <w:pStyle w:val="BodyText"/>
              <w:numPr>
                <w:ilvl w:val="0"/>
                <w:numId w:val="22"/>
              </w:numPr>
              <w:overflowPunct/>
              <w:autoSpaceDE/>
              <w:autoSpaceDN/>
              <w:adjustRightInd/>
              <w:textAlignment w:val="auto"/>
              <w:rPr>
                <w:rFonts w:eastAsia="DengXian"/>
                <w:szCs w:val="20"/>
                <w:lang w:eastAsia="zh-CN"/>
              </w:rPr>
            </w:pPr>
            <w:r w:rsidRPr="00426D88">
              <w:rPr>
                <w:rFonts w:eastAsia="DengXian" w:hint="eastAsia"/>
                <w:szCs w:val="20"/>
                <w:lang w:eastAsia="zh-CN"/>
              </w:rPr>
              <w:t>F</w:t>
            </w:r>
            <w:r w:rsidRPr="00426D88">
              <w:rPr>
                <w:rFonts w:eastAsia="DengXian"/>
                <w:szCs w:val="20"/>
                <w:lang w:eastAsia="zh-CN"/>
              </w:rPr>
              <w:t>or the NR SLSS</w:t>
            </w:r>
            <w:r w:rsidRPr="00426D88">
              <w:rPr>
                <w:rFonts w:eastAsia="DengXian" w:hint="eastAsia"/>
                <w:szCs w:val="20"/>
                <w:lang w:eastAsia="zh-CN"/>
              </w:rPr>
              <w:t xml:space="preserve">, </w:t>
            </w:r>
          </w:p>
          <w:p w14:paraId="2421CDB9" w14:textId="77777777" w:rsidR="005C0140" w:rsidRPr="00426D88" w:rsidRDefault="005C0140" w:rsidP="007E2181">
            <w:pPr>
              <w:pStyle w:val="BodyText"/>
              <w:numPr>
                <w:ilvl w:val="1"/>
                <w:numId w:val="22"/>
              </w:numPr>
              <w:overflowPunct/>
              <w:autoSpaceDE/>
              <w:autoSpaceDN/>
              <w:adjustRightInd/>
              <w:textAlignment w:val="auto"/>
              <w:rPr>
                <w:rFonts w:eastAsia="DengXian"/>
                <w:szCs w:val="20"/>
                <w:lang w:eastAsia="zh-CN"/>
              </w:rPr>
            </w:pPr>
            <w:r w:rsidRPr="00426D88">
              <w:rPr>
                <w:rFonts w:eastAsia="DengXian"/>
                <w:szCs w:val="20"/>
                <w:lang w:eastAsia="zh-CN"/>
              </w:rPr>
              <w:t>S</w:t>
            </w:r>
            <w:r w:rsidRPr="00426D88">
              <w:rPr>
                <w:rFonts w:eastAsia="DengXian" w:hint="eastAsia"/>
                <w:szCs w:val="20"/>
                <w:lang w:eastAsia="zh-CN"/>
              </w:rPr>
              <w:t>ame sequence is used for both symbols of S-PSS</w:t>
            </w:r>
          </w:p>
          <w:p w14:paraId="3FDDF7D1" w14:textId="77777777" w:rsidR="005C0140" w:rsidRPr="00426D88" w:rsidRDefault="005C0140" w:rsidP="007E2181">
            <w:pPr>
              <w:pStyle w:val="BodyText"/>
              <w:numPr>
                <w:ilvl w:val="1"/>
                <w:numId w:val="22"/>
              </w:numPr>
              <w:overflowPunct/>
              <w:autoSpaceDE/>
              <w:autoSpaceDN/>
              <w:adjustRightInd/>
              <w:textAlignment w:val="auto"/>
              <w:rPr>
                <w:rFonts w:eastAsia="DengXian"/>
                <w:szCs w:val="20"/>
                <w:lang w:eastAsia="zh-CN"/>
              </w:rPr>
            </w:pPr>
            <w:r w:rsidRPr="00426D88">
              <w:rPr>
                <w:rFonts w:eastAsia="DengXian"/>
                <w:szCs w:val="20"/>
                <w:lang w:eastAsia="zh-CN"/>
              </w:rPr>
              <w:t>S</w:t>
            </w:r>
            <w:r w:rsidRPr="00426D88">
              <w:rPr>
                <w:rFonts w:eastAsia="DengXian" w:hint="eastAsia"/>
                <w:szCs w:val="20"/>
                <w:lang w:eastAsia="zh-CN"/>
              </w:rPr>
              <w:t>ame sequence is used for both symbols of S-SSS</w:t>
            </w:r>
          </w:p>
          <w:p w14:paraId="32A2405C" w14:textId="77777777" w:rsidR="00F476B3" w:rsidRDefault="00F476B3" w:rsidP="00F476B3">
            <w:pPr>
              <w:rPr>
                <w:b/>
                <w:bCs/>
                <w:lang w:val="en-US" w:eastAsia="x-none"/>
              </w:rPr>
            </w:pPr>
          </w:p>
          <w:p w14:paraId="158BDC98" w14:textId="77777777" w:rsidR="00F476B3" w:rsidRDefault="00F476B3" w:rsidP="00F476B3">
            <w:pPr>
              <w:rPr>
                <w:lang w:eastAsia="x-none"/>
              </w:rPr>
            </w:pPr>
            <w:r>
              <w:rPr>
                <w:highlight w:val="green"/>
                <w:lang w:eastAsia="x-none"/>
              </w:rPr>
              <w:t>Agreements</w:t>
            </w:r>
            <w:r>
              <w:rPr>
                <w:lang w:eastAsia="x-none"/>
              </w:rPr>
              <w:t>:</w:t>
            </w:r>
          </w:p>
          <w:p w14:paraId="319A7E86" w14:textId="77777777" w:rsidR="00F476B3" w:rsidRDefault="00F476B3" w:rsidP="007E2181">
            <w:pPr>
              <w:pStyle w:val="BodyText"/>
              <w:numPr>
                <w:ilvl w:val="0"/>
                <w:numId w:val="22"/>
              </w:numPr>
              <w:overflowPunct/>
              <w:autoSpaceDE/>
              <w:autoSpaceDN/>
              <w:adjustRightInd/>
              <w:textAlignment w:val="auto"/>
              <w:rPr>
                <w:lang w:val="en-GB" w:eastAsia="zh-CN"/>
              </w:rPr>
            </w:pPr>
            <w:r>
              <w:rPr>
                <w:lang w:val="en-GB" w:eastAsia="zh-CN"/>
              </w:rPr>
              <w:t>The number of NR V2X SSID is 672 with the combination of {2 S-PSS candidates * 336 S-SSS candidates}.</w:t>
            </w:r>
          </w:p>
          <w:p w14:paraId="5A2621DC" w14:textId="77777777" w:rsidR="00F476B3" w:rsidRDefault="00F476B3" w:rsidP="00F476B3">
            <w:pPr>
              <w:rPr>
                <w:highlight w:val="yellow"/>
                <w:lang w:eastAsia="zh-CN"/>
              </w:rPr>
            </w:pPr>
          </w:p>
          <w:p w14:paraId="03EDED8F" w14:textId="77777777" w:rsidR="00F476B3" w:rsidRDefault="00F476B3" w:rsidP="00F476B3">
            <w:pPr>
              <w:rPr>
                <w:lang w:eastAsia="zh-CN"/>
              </w:rPr>
            </w:pPr>
            <w:r>
              <w:rPr>
                <w:highlight w:val="green"/>
                <w:lang w:eastAsia="zh-CN"/>
              </w:rPr>
              <w:t>Agreements</w:t>
            </w:r>
            <w:r>
              <w:rPr>
                <w:lang w:eastAsia="zh-CN"/>
              </w:rPr>
              <w:t>:</w:t>
            </w:r>
          </w:p>
          <w:p w14:paraId="59BF4B5C" w14:textId="77777777" w:rsidR="00F476B3" w:rsidRDefault="00F476B3" w:rsidP="007E2181">
            <w:pPr>
              <w:numPr>
                <w:ilvl w:val="0"/>
                <w:numId w:val="22"/>
              </w:numPr>
              <w:spacing w:after="0"/>
              <w:rPr>
                <w:rFonts w:eastAsia="Times New Roman"/>
                <w:lang w:eastAsia="x-none"/>
              </w:rPr>
            </w:pPr>
            <w:r>
              <w:rPr>
                <w:rFonts w:eastAsia="Times New Roman"/>
                <w:lang w:eastAsia="x-none"/>
              </w:rPr>
              <w:t>NR S-SSB structure for NCP is as follows:</w:t>
            </w:r>
          </w:p>
          <w:p w14:paraId="1ABADC0B" w14:textId="6EF306DE" w:rsidR="00F476B3" w:rsidRDefault="00F476B3" w:rsidP="00F476B3">
            <w:pPr>
              <w:rPr>
                <w:rFonts w:eastAsiaTheme="minorHAnsi"/>
                <w:lang w:eastAsia="zh-CN"/>
              </w:rPr>
            </w:pPr>
            <w:r>
              <w:rPr>
                <w:noProof/>
                <w:lang w:eastAsia="zh-CN"/>
              </w:rPr>
              <w:drawing>
                <wp:inline distT="0" distB="0" distL="0" distR="0" wp14:anchorId="53FBEA11" wp14:editId="13278A58">
                  <wp:extent cx="5438775" cy="590550"/>
                  <wp:effectExtent l="0" t="0" r="9525" b="0"/>
                  <wp:docPr id="1" name="Picture 1" descr="cid:image005.jpg@01D55F4D.7F45F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D55F4D.7F45F7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38775" cy="590550"/>
                          </a:xfrm>
                          <a:prstGeom prst="rect">
                            <a:avLst/>
                          </a:prstGeom>
                          <a:noFill/>
                          <a:ln>
                            <a:noFill/>
                          </a:ln>
                        </pic:spPr>
                      </pic:pic>
                    </a:graphicData>
                  </a:graphic>
                </wp:inline>
              </w:drawing>
            </w:r>
          </w:p>
          <w:p w14:paraId="0D9860C0" w14:textId="3FF598E9" w:rsidR="00F476B3" w:rsidRDefault="00F476B3" w:rsidP="007E2181">
            <w:pPr>
              <w:numPr>
                <w:ilvl w:val="1"/>
                <w:numId w:val="22"/>
              </w:numPr>
              <w:spacing w:after="0"/>
              <w:rPr>
                <w:rFonts w:eastAsia="Times New Roman"/>
                <w:lang w:eastAsia="x-none"/>
              </w:rPr>
            </w:pPr>
            <w:r>
              <w:rPr>
                <w:rFonts w:eastAsia="Times New Roman"/>
                <w:lang w:eastAsia="x-none"/>
              </w:rPr>
              <w:t>For the case of ECP, the structure is the same as the above except that the number of PSBCH symbols after S-SSS is only 6</w:t>
            </w:r>
          </w:p>
          <w:p w14:paraId="3F6F1319" w14:textId="4761ABC7" w:rsidR="00F476B3" w:rsidRDefault="007E2181" w:rsidP="00F476B3">
            <w:pPr>
              <w:numPr>
                <w:ilvl w:val="1"/>
                <w:numId w:val="22"/>
              </w:numPr>
              <w:spacing w:after="0"/>
              <w:rPr>
                <w:lang w:eastAsia="x-none"/>
              </w:rPr>
            </w:pPr>
            <w:r w:rsidRPr="00554DF2">
              <w:rPr>
                <w:lang w:eastAsia="x-none"/>
              </w:rPr>
              <w:t xml:space="preserve">It is up to RAN4 to decide whether a transient period is necessary or not. If so, to address the transient period, one possibility is to shift the symbols starting the first S-SSS symbol by at least one symbol. </w:t>
            </w:r>
          </w:p>
          <w:p w14:paraId="0907DF37" w14:textId="77777777" w:rsidR="007E2181" w:rsidRPr="004D3239" w:rsidRDefault="007E2181" w:rsidP="004D3239">
            <w:pPr>
              <w:spacing w:after="0"/>
              <w:ind w:left="1440"/>
              <w:rPr>
                <w:lang w:eastAsia="x-none"/>
              </w:rPr>
            </w:pPr>
          </w:p>
          <w:p w14:paraId="2DEAEFCC" w14:textId="648AE48E" w:rsidR="00F476B3" w:rsidRDefault="00F476B3" w:rsidP="00F476B3">
            <w:r>
              <w:rPr>
                <w:highlight w:val="green"/>
              </w:rPr>
              <w:t>Agreements</w:t>
            </w:r>
            <w:r>
              <w:t>:</w:t>
            </w:r>
          </w:p>
          <w:p w14:paraId="28FE43F8" w14:textId="77777777" w:rsidR="00F476B3" w:rsidRDefault="00F476B3" w:rsidP="007E2181">
            <w:pPr>
              <w:numPr>
                <w:ilvl w:val="0"/>
                <w:numId w:val="22"/>
              </w:numPr>
              <w:spacing w:after="0"/>
              <w:rPr>
                <w:rFonts w:eastAsia="Times New Roman"/>
                <w:sz w:val="22"/>
                <w:szCs w:val="22"/>
              </w:rPr>
            </w:pPr>
            <w:r>
              <w:rPr>
                <w:rFonts w:eastAsia="Times New Roman"/>
              </w:rPr>
              <w:t>160ms is supported as the S-SSB periodicity for all SCS.</w:t>
            </w:r>
          </w:p>
          <w:p w14:paraId="3D825949" w14:textId="4FFFF99C" w:rsidR="00F476B3" w:rsidRDefault="00F476B3" w:rsidP="007E2181">
            <w:pPr>
              <w:numPr>
                <w:ilvl w:val="0"/>
                <w:numId w:val="22"/>
              </w:numPr>
              <w:spacing w:after="0"/>
              <w:rPr>
                <w:rFonts w:eastAsia="Times New Roman"/>
              </w:rPr>
            </w:pPr>
            <w:r>
              <w:rPr>
                <w:rFonts w:eastAsia="Times New Roman"/>
              </w:rPr>
              <w:t>The number of S-SSB transmissions within one S-SSB period is (pre)configurable</w:t>
            </w:r>
          </w:p>
          <w:p w14:paraId="2A17BAE7" w14:textId="7266CBE0" w:rsidR="00F476B3" w:rsidRDefault="00F476B3" w:rsidP="007E2181">
            <w:pPr>
              <w:numPr>
                <w:ilvl w:val="0"/>
                <w:numId w:val="22"/>
              </w:numPr>
              <w:spacing w:after="0"/>
              <w:rPr>
                <w:rFonts w:eastAsia="Times New Roman"/>
              </w:rPr>
            </w:pPr>
            <w:r>
              <w:rPr>
                <w:rFonts w:eastAsia="Times New Roman"/>
              </w:rPr>
              <w:t>For FR1:</w:t>
            </w:r>
          </w:p>
          <w:p w14:paraId="3F7CBFC1" w14:textId="77777777" w:rsidR="00F476B3" w:rsidRDefault="00F476B3" w:rsidP="007E2181">
            <w:pPr>
              <w:numPr>
                <w:ilvl w:val="1"/>
                <w:numId w:val="22"/>
              </w:numPr>
              <w:spacing w:after="0"/>
              <w:jc w:val="both"/>
            </w:pPr>
            <w:r>
              <w:t xml:space="preserve">For 15kHz SCS, {1, </w:t>
            </w:r>
            <w:r>
              <w:rPr>
                <w:lang w:eastAsia="zh-CN"/>
              </w:rPr>
              <w:t>[</w:t>
            </w:r>
            <w:r>
              <w:t>2</w:t>
            </w:r>
            <w:r>
              <w:rPr>
                <w:lang w:eastAsia="zh-CN"/>
              </w:rPr>
              <w:t>]</w:t>
            </w:r>
            <w:r>
              <w:t>}</w:t>
            </w:r>
          </w:p>
          <w:p w14:paraId="2FD51E8A" w14:textId="77777777" w:rsidR="00F476B3" w:rsidRDefault="00F476B3" w:rsidP="007E2181">
            <w:pPr>
              <w:numPr>
                <w:ilvl w:val="1"/>
                <w:numId w:val="22"/>
              </w:numPr>
              <w:spacing w:after="0"/>
              <w:jc w:val="both"/>
            </w:pPr>
            <w:r>
              <w:t>For 30kHz SCS, {1, 2</w:t>
            </w:r>
            <w:r>
              <w:rPr>
                <w:lang w:eastAsia="zh-CN"/>
              </w:rPr>
              <w:t xml:space="preserve">, </w:t>
            </w:r>
            <w:r>
              <w:rPr>
                <w:color w:val="FF0000"/>
                <w:lang w:eastAsia="zh-CN"/>
              </w:rPr>
              <w:t>[4]</w:t>
            </w:r>
            <w:r>
              <w:t>}</w:t>
            </w:r>
          </w:p>
          <w:p w14:paraId="1E015C4B" w14:textId="77777777" w:rsidR="00F476B3" w:rsidRDefault="00F476B3" w:rsidP="007E2181">
            <w:pPr>
              <w:numPr>
                <w:ilvl w:val="1"/>
                <w:numId w:val="22"/>
              </w:numPr>
              <w:spacing w:after="0"/>
              <w:jc w:val="both"/>
            </w:pPr>
            <w:r>
              <w:t>For 60kHz SCS, {</w:t>
            </w:r>
            <w:r>
              <w:rPr>
                <w:color w:val="FF0000"/>
                <w:u w:val="single"/>
                <w:lang w:eastAsia="zh-CN"/>
              </w:rPr>
              <w:t xml:space="preserve">1, </w:t>
            </w:r>
            <w:r>
              <w:rPr>
                <w:color w:val="FF0000"/>
                <w:u w:val="single"/>
              </w:rPr>
              <w:t xml:space="preserve">2, 4, </w:t>
            </w:r>
            <w:r>
              <w:rPr>
                <w:color w:val="FF0000"/>
                <w:u w:val="single"/>
                <w:lang w:eastAsia="zh-CN"/>
              </w:rPr>
              <w:t>[</w:t>
            </w:r>
            <w:r>
              <w:rPr>
                <w:color w:val="FF0000"/>
                <w:u w:val="single"/>
              </w:rPr>
              <w:t>8</w:t>
            </w:r>
            <w:r>
              <w:rPr>
                <w:color w:val="FF0000"/>
                <w:u w:val="single"/>
                <w:lang w:eastAsia="zh-CN"/>
              </w:rPr>
              <w:t>]</w:t>
            </w:r>
            <w:r>
              <w:t>}</w:t>
            </w:r>
          </w:p>
          <w:p w14:paraId="34021C2F" w14:textId="355B2B11" w:rsidR="00F476B3" w:rsidRDefault="00F476B3" w:rsidP="004D3239">
            <w:pPr>
              <w:numPr>
                <w:ilvl w:val="0"/>
                <w:numId w:val="22"/>
              </w:numPr>
              <w:spacing w:after="0"/>
              <w:rPr>
                <w:rFonts w:eastAsia="Times New Roman"/>
              </w:rPr>
            </w:pPr>
            <w:r>
              <w:rPr>
                <w:rFonts w:eastAsia="Times New Roman"/>
              </w:rPr>
              <w:t>For FR2:</w:t>
            </w:r>
          </w:p>
          <w:p w14:paraId="0F82E954" w14:textId="77777777" w:rsidR="00F476B3" w:rsidRDefault="00F476B3" w:rsidP="007E2181">
            <w:pPr>
              <w:numPr>
                <w:ilvl w:val="1"/>
                <w:numId w:val="22"/>
              </w:numPr>
              <w:spacing w:after="0"/>
              <w:jc w:val="both"/>
              <w:rPr>
                <w:lang w:eastAsia="ko-KR"/>
              </w:rPr>
            </w:pPr>
            <w:r>
              <w:t>For 60kHz SCS, {</w:t>
            </w:r>
            <w:r>
              <w:rPr>
                <w:color w:val="FF0000"/>
                <w:u w:val="single"/>
                <w:lang w:eastAsia="zh-CN"/>
              </w:rPr>
              <w:t xml:space="preserve">1, </w:t>
            </w:r>
            <w:r>
              <w:rPr>
                <w:color w:val="FF0000"/>
                <w:u w:val="single"/>
              </w:rPr>
              <w:t>2, 4, 8</w:t>
            </w:r>
            <w:r>
              <w:rPr>
                <w:color w:val="FF0000"/>
                <w:u w:val="single"/>
                <w:lang w:eastAsia="zh-CN"/>
              </w:rPr>
              <w:t>, 16, 32</w:t>
            </w:r>
            <w:r>
              <w:t>}</w:t>
            </w:r>
          </w:p>
          <w:p w14:paraId="2C3DF1C4" w14:textId="77777777" w:rsidR="00F476B3" w:rsidRDefault="00F476B3" w:rsidP="007E2181">
            <w:pPr>
              <w:numPr>
                <w:ilvl w:val="1"/>
                <w:numId w:val="22"/>
              </w:numPr>
              <w:spacing w:after="0"/>
              <w:jc w:val="both"/>
            </w:pPr>
            <w:r>
              <w:lastRenderedPageBreak/>
              <w:t>For 120kHz SCS, {</w:t>
            </w:r>
            <w:r>
              <w:rPr>
                <w:color w:val="FF0000"/>
                <w:u w:val="single"/>
                <w:lang w:eastAsia="zh-CN"/>
              </w:rPr>
              <w:t xml:space="preserve">1, 2, 4, </w:t>
            </w:r>
            <w:r>
              <w:rPr>
                <w:color w:val="FF0000"/>
                <w:u w:val="single"/>
              </w:rPr>
              <w:t>8, 16, 32</w:t>
            </w:r>
            <w:r>
              <w:rPr>
                <w:color w:val="FF0000"/>
                <w:u w:val="single"/>
                <w:lang w:eastAsia="zh-CN"/>
              </w:rPr>
              <w:t>, 64</w:t>
            </w:r>
            <w:r>
              <w:t>}</w:t>
            </w:r>
          </w:p>
          <w:p w14:paraId="4E79E853" w14:textId="01960643" w:rsidR="00F476B3" w:rsidRDefault="00F476B3" w:rsidP="007E2181">
            <w:pPr>
              <w:numPr>
                <w:ilvl w:val="1"/>
                <w:numId w:val="22"/>
              </w:numPr>
              <w:spacing w:after="0"/>
              <w:rPr>
                <w:rFonts w:eastAsia="Times New Roman"/>
              </w:rPr>
            </w:pPr>
            <w:r>
              <w:rPr>
                <w:rFonts w:eastAsia="Times New Roman"/>
              </w:rPr>
              <w:t xml:space="preserve">FFS details for the multiple S-SSB transmissions within one S-SSB period (the set of slots, </w:t>
            </w:r>
            <w:proofErr w:type="gramStart"/>
            <w:r>
              <w:rPr>
                <w:rFonts w:eastAsia="Times New Roman"/>
              </w:rPr>
              <w:t>repetition?,</w:t>
            </w:r>
            <w:proofErr w:type="gramEnd"/>
            <w:r>
              <w:rPr>
                <w:rFonts w:eastAsia="Times New Roman"/>
              </w:rPr>
              <w:t xml:space="preserve"> etc.)</w:t>
            </w:r>
          </w:p>
          <w:p w14:paraId="737AEE10" w14:textId="1F8655D5" w:rsidR="00F476B3" w:rsidRDefault="00F476B3" w:rsidP="007E2181">
            <w:pPr>
              <w:numPr>
                <w:ilvl w:val="1"/>
                <w:numId w:val="22"/>
              </w:numPr>
              <w:spacing w:after="0"/>
              <w:rPr>
                <w:rFonts w:eastAsia="Times New Roman"/>
              </w:rPr>
            </w:pPr>
            <w:r w:rsidRPr="00F476B3">
              <w:rPr>
                <w:rFonts w:eastAsia="Times New Roman"/>
                <w:lang w:eastAsia="x-none"/>
              </w:rPr>
              <w:t>Note: the values in bracket are subject to further discussion regarding potential removal all-together</w:t>
            </w:r>
          </w:p>
          <w:p w14:paraId="7F978AB7" w14:textId="77777777" w:rsidR="00F476B3" w:rsidRPr="00F476B3" w:rsidRDefault="00F476B3" w:rsidP="004D3239">
            <w:pPr>
              <w:spacing w:after="0"/>
              <w:ind w:left="1440"/>
              <w:rPr>
                <w:rFonts w:eastAsia="Times New Roman"/>
              </w:rPr>
            </w:pPr>
          </w:p>
          <w:p w14:paraId="74D5E94F" w14:textId="77777777" w:rsidR="00F476B3" w:rsidRDefault="00F476B3" w:rsidP="00F476B3">
            <w:pPr>
              <w:rPr>
                <w:b/>
                <w:bCs/>
                <w:lang w:eastAsia="x-none"/>
              </w:rPr>
            </w:pPr>
            <w:r>
              <w:rPr>
                <w:highlight w:val="green"/>
                <w:lang w:eastAsia="x-none"/>
              </w:rPr>
              <w:t>Agreements</w:t>
            </w:r>
            <w:r>
              <w:rPr>
                <w:b/>
                <w:bCs/>
                <w:lang w:eastAsia="x-none"/>
              </w:rPr>
              <w:t>:</w:t>
            </w:r>
          </w:p>
          <w:p w14:paraId="4D648198" w14:textId="77777777" w:rsidR="00F476B3" w:rsidRDefault="00F476B3" w:rsidP="007E2181">
            <w:pPr>
              <w:pStyle w:val="BodyText"/>
              <w:numPr>
                <w:ilvl w:val="0"/>
                <w:numId w:val="22"/>
              </w:numPr>
              <w:overflowPunct/>
              <w:autoSpaceDE/>
              <w:autoSpaceDN/>
              <w:adjustRightInd/>
              <w:textAlignment w:val="auto"/>
              <w:rPr>
                <w:szCs w:val="20"/>
                <w:lang w:val="en-GB" w:eastAsia="zh-CN"/>
              </w:rPr>
            </w:pPr>
            <w:r>
              <w:rPr>
                <w:lang w:val="en-GB" w:eastAsia="zh-CN"/>
              </w:rPr>
              <w:t>RS based synchronization can be supported by UE implementation without RAN1 specification impact.</w:t>
            </w:r>
          </w:p>
          <w:p w14:paraId="22231073" w14:textId="74902280" w:rsidR="00F476B3" w:rsidRPr="00B62820" w:rsidRDefault="00F476B3" w:rsidP="004D3239">
            <w:pPr>
              <w:spacing w:after="0"/>
              <w:rPr>
                <w:iCs/>
              </w:rPr>
            </w:pPr>
          </w:p>
        </w:tc>
      </w:tr>
    </w:tbl>
    <w:p w14:paraId="7CFE98DF" w14:textId="77777777" w:rsidR="005C0140" w:rsidRDefault="005C0140" w:rsidP="00A917AE">
      <w:pPr>
        <w:jc w:val="both"/>
        <w:rPr>
          <w:lang w:val="en-US"/>
        </w:rPr>
      </w:pPr>
    </w:p>
    <w:p w14:paraId="44860E43" w14:textId="256DD342" w:rsidR="00A917AE" w:rsidRDefault="00A917AE" w:rsidP="00A917AE">
      <w:pPr>
        <w:jc w:val="both"/>
        <w:rPr>
          <w:lang w:val="en-US"/>
        </w:rPr>
      </w:pPr>
      <w:r>
        <w:rPr>
          <w:lang w:val="en-US"/>
        </w:rPr>
        <w:t xml:space="preserve">In this contribution, we discuss the </w:t>
      </w:r>
      <w:r w:rsidR="005C0140">
        <w:rPr>
          <w:lang w:val="en-US"/>
        </w:rPr>
        <w:t xml:space="preserve">remaining issues related to </w:t>
      </w:r>
      <w:r>
        <w:rPr>
          <w:lang w:val="en-US"/>
        </w:rPr>
        <w:t xml:space="preserve">SL synchronization signal design and procedure based on the outcome </w:t>
      </w:r>
      <w:r w:rsidR="005C0140">
        <w:rPr>
          <w:lang w:val="en-US"/>
        </w:rPr>
        <w:t>achieved in past few RAN1 meetings</w:t>
      </w:r>
      <w:r w:rsidR="004D3239">
        <w:rPr>
          <w:lang w:val="en-US"/>
        </w:rPr>
        <w:t>.</w:t>
      </w:r>
    </w:p>
    <w:p w14:paraId="65DDFC80" w14:textId="17F74C99" w:rsidR="00A917AE" w:rsidRDefault="00A917AE" w:rsidP="00A917AE">
      <w:pPr>
        <w:pStyle w:val="Heading1"/>
        <w:numPr>
          <w:ilvl w:val="0"/>
          <w:numId w:val="1"/>
        </w:numPr>
        <w:jc w:val="both"/>
        <w:rPr>
          <w:rFonts w:cs="Arial"/>
          <w:lang w:eastAsia="zh-CN"/>
        </w:rPr>
      </w:pPr>
      <w:r>
        <w:rPr>
          <w:rFonts w:cs="Arial"/>
          <w:lang w:eastAsia="zh-CN"/>
        </w:rPr>
        <w:t>S</w:t>
      </w:r>
      <w:r w:rsidR="00216202">
        <w:rPr>
          <w:rFonts w:cs="Arial"/>
          <w:lang w:eastAsia="zh-CN"/>
        </w:rPr>
        <w:t>idelink SSB Design</w:t>
      </w:r>
    </w:p>
    <w:p w14:paraId="114048E7" w14:textId="27113425" w:rsidR="00F2498F" w:rsidRDefault="00F2498F" w:rsidP="00F2498F">
      <w:pPr>
        <w:jc w:val="both"/>
      </w:pPr>
      <w:r>
        <w:t>In this section, we discuss the remaining open issues related to S-SSB design.</w:t>
      </w:r>
    </w:p>
    <w:p w14:paraId="6A398C0C" w14:textId="7DB176E0" w:rsidR="00F2498F" w:rsidRPr="00C27F6F" w:rsidRDefault="00F2498F" w:rsidP="00F2498F">
      <w:pPr>
        <w:pStyle w:val="Heading2"/>
        <w:numPr>
          <w:ilvl w:val="1"/>
          <w:numId w:val="1"/>
        </w:numPr>
      </w:pPr>
      <w:r>
        <w:t>SLSS Sequences</w:t>
      </w:r>
    </w:p>
    <w:p w14:paraId="4C074462" w14:textId="77777777" w:rsidR="004D3239" w:rsidRDefault="00F2498F" w:rsidP="00963CAF">
      <w:pPr>
        <w:jc w:val="both"/>
      </w:pPr>
      <w:r>
        <w:t>In RAN1#9</w:t>
      </w:r>
      <w:r w:rsidR="00963CAF">
        <w:t>8</w:t>
      </w:r>
      <w:r>
        <w:t xml:space="preserve">, </w:t>
      </w:r>
      <w:r w:rsidR="00963CAF">
        <w:t xml:space="preserve">it was agreed to support </w:t>
      </w:r>
      <w:r w:rsidR="00963CAF">
        <w:rPr>
          <w:lang w:eastAsia="zh-CN"/>
        </w:rPr>
        <w:t xml:space="preserve">672 SLSS IDs with the combination of {2 S-PSS candidates * 336 S-SSS candidates} for those SLSS IDs. The sequences to use for S-PSS and S-SSS </w:t>
      </w:r>
      <w:r w:rsidR="00963CAF">
        <w:t xml:space="preserve">are FFS. To differentiate the V2X S-PSS from NR Uu PSS, while </w:t>
      </w:r>
      <w:proofErr w:type="gramStart"/>
      <w:r w:rsidR="00963CAF">
        <w:t>still keeping</w:t>
      </w:r>
      <w:proofErr w:type="gramEnd"/>
      <w:r w:rsidR="00963CAF">
        <w:t xml:space="preserve"> large degree of </w:t>
      </w:r>
      <w:r w:rsidR="004D3239">
        <w:t>commonality</w:t>
      </w:r>
      <w:r w:rsidR="00963CAF">
        <w:t xml:space="preserve"> with the NR PSS/SSS sequences to enable hardware reuse at the receiver, we propose to have different CSs than NR Uu PSS (in particular the CSs for NR S-PSS are {21, 64}), and NR Uu SSS sequences can be reused for NR S-SSS.</w:t>
      </w:r>
      <w:bookmarkStart w:id="2" w:name="_Hlk21003003"/>
    </w:p>
    <w:p w14:paraId="30F56481" w14:textId="0B90C5F7" w:rsidR="00963CAF" w:rsidRPr="004D3239" w:rsidRDefault="00963CAF" w:rsidP="00963CAF">
      <w:pPr>
        <w:jc w:val="both"/>
      </w:pPr>
      <w:r w:rsidRPr="00963CAF">
        <w:rPr>
          <w:b/>
        </w:rPr>
        <w:t>Proposal 1:</w:t>
      </w:r>
      <w:r w:rsidRPr="004D3239">
        <w:t xml:space="preserve">  </w:t>
      </w:r>
      <w:r>
        <w:t xml:space="preserve">NR </w:t>
      </w:r>
      <w:r w:rsidRPr="004D3239">
        <w:t xml:space="preserve">S-PSS uses the same polynomial </w:t>
      </w:r>
      <w:r>
        <w:t xml:space="preserve">as NR PSS </w:t>
      </w:r>
      <w:r w:rsidRPr="004D3239">
        <w:t xml:space="preserve">(i.e., x7+x4+1) and the same initial value, but </w:t>
      </w:r>
      <w:r>
        <w:t xml:space="preserve">uses </w:t>
      </w:r>
      <w:r w:rsidRPr="004D3239">
        <w:t xml:space="preserve">cyclic shifts </w:t>
      </w:r>
      <w:r>
        <w:t xml:space="preserve">{21, 64} (that differ from </w:t>
      </w:r>
      <w:r w:rsidRPr="004D3239">
        <w:t xml:space="preserve">NR </w:t>
      </w:r>
      <w:r>
        <w:t xml:space="preserve">Uu </w:t>
      </w:r>
      <w:r w:rsidRPr="004D3239">
        <w:t>PSS</w:t>
      </w:r>
      <w:r>
        <w:t>).</w:t>
      </w:r>
    </w:p>
    <w:p w14:paraId="1D4EC543" w14:textId="150E5525" w:rsidR="00553802" w:rsidRDefault="00963CAF" w:rsidP="00F2498F">
      <w:pPr>
        <w:jc w:val="both"/>
      </w:pPr>
      <w:r w:rsidRPr="00963CAF">
        <w:rPr>
          <w:b/>
        </w:rPr>
        <w:t>Proposal 2:</w:t>
      </w:r>
      <w:r w:rsidRPr="004D3239">
        <w:t xml:space="preserve">  S-SSS reuses the sequences of NR </w:t>
      </w:r>
      <w:r>
        <w:t xml:space="preserve">Uu </w:t>
      </w:r>
      <w:r w:rsidRPr="004D3239">
        <w:t>SSS.</w:t>
      </w:r>
      <w:bookmarkEnd w:id="2"/>
    </w:p>
    <w:p w14:paraId="542BBC1C" w14:textId="77777777" w:rsidR="00F2498F" w:rsidRPr="00C27F6F" w:rsidRDefault="00F2498F" w:rsidP="00F2498F">
      <w:pPr>
        <w:pStyle w:val="Heading2"/>
        <w:numPr>
          <w:ilvl w:val="1"/>
          <w:numId w:val="1"/>
        </w:numPr>
      </w:pPr>
      <w:r>
        <w:t>NR PSBCH Design</w:t>
      </w:r>
    </w:p>
    <w:p w14:paraId="1DE9A897" w14:textId="77777777" w:rsidR="00F2498F" w:rsidRPr="0012303C" w:rsidRDefault="00F2498F" w:rsidP="00F2498F">
      <w:pPr>
        <w:pStyle w:val="Heading2"/>
        <w:numPr>
          <w:ilvl w:val="2"/>
          <w:numId w:val="1"/>
        </w:numPr>
        <w:rPr>
          <w:sz w:val="24"/>
          <w:szCs w:val="24"/>
          <w:lang w:eastAsia="zh-CN"/>
        </w:rPr>
      </w:pPr>
      <w:r>
        <w:rPr>
          <w:sz w:val="24"/>
          <w:szCs w:val="24"/>
          <w:lang w:eastAsia="zh-CN"/>
        </w:rPr>
        <w:t>PSBCH Contents</w:t>
      </w:r>
    </w:p>
    <w:p w14:paraId="48D3BD27" w14:textId="608C02E2" w:rsidR="00F2498F" w:rsidRDefault="00786563" w:rsidP="00F2498F">
      <w:pPr>
        <w:jc w:val="both"/>
      </w:pPr>
      <w:r>
        <w:t>NR PBCH carries parameters that are necessary for UE to be synchronized to network. S</w:t>
      </w:r>
      <w:r w:rsidR="00F2498F">
        <w:t xml:space="preserve">ome of </w:t>
      </w:r>
      <w:r>
        <w:t>those parameters are</w:t>
      </w:r>
      <w:r w:rsidR="00F2498F">
        <w:t xml:space="preserve"> also useful for sidelink</w:t>
      </w:r>
      <w:r>
        <w:t>:</w:t>
      </w:r>
    </w:p>
    <w:p w14:paraId="7E0C6D36" w14:textId="6C97F156" w:rsidR="00F2498F" w:rsidRDefault="00786563" w:rsidP="00F2498F">
      <w:pPr>
        <w:pStyle w:val="ListParagraph"/>
        <w:numPr>
          <w:ilvl w:val="0"/>
          <w:numId w:val="12"/>
        </w:numPr>
        <w:jc w:val="both"/>
      </w:pPr>
      <w:r>
        <w:t>S</w:t>
      </w:r>
      <w:r w:rsidR="00F2498F" w:rsidRPr="00635E5C">
        <w:t>ystem</w:t>
      </w:r>
      <w:r>
        <w:t xml:space="preserve"> </w:t>
      </w:r>
      <w:r w:rsidR="00F2498F" w:rsidRPr="00635E5C">
        <w:t>Frame</w:t>
      </w:r>
      <w:r>
        <w:t xml:space="preserve"> </w:t>
      </w:r>
      <w:r w:rsidR="00F2498F" w:rsidRPr="00635E5C">
        <w:t>Number</w:t>
      </w:r>
      <w:r w:rsidR="00F2498F">
        <w:t xml:space="preserve">: this is needed </w:t>
      </w:r>
      <w:r>
        <w:t>to indicate frame number on</w:t>
      </w:r>
      <w:r w:rsidR="00F2498F">
        <w:t xml:space="preserve"> sidelink</w:t>
      </w:r>
      <w:r w:rsidR="00C27BBF">
        <w:t xml:space="preserve"> (10 bits)</w:t>
      </w:r>
      <w:r w:rsidR="00F2498F">
        <w:t>.</w:t>
      </w:r>
    </w:p>
    <w:p w14:paraId="5959A240" w14:textId="42F338D5" w:rsidR="00786563" w:rsidRPr="00803A64" w:rsidRDefault="00786563" w:rsidP="00417938">
      <w:pPr>
        <w:pStyle w:val="ListParagraph"/>
        <w:numPr>
          <w:ilvl w:val="0"/>
          <w:numId w:val="12"/>
        </w:numPr>
        <w:jc w:val="both"/>
      </w:pPr>
      <w:r w:rsidRPr="00635E5C">
        <w:t>SSB index: this is needed for sidelink considering the repetition requirement of SSB</w:t>
      </w:r>
      <w:r w:rsidR="00C27BBF">
        <w:t xml:space="preserve"> (number of bits FFS)</w:t>
      </w:r>
      <w:r w:rsidR="00803A64" w:rsidRPr="00635E5C">
        <w:t>. We will discuss the repetition later.</w:t>
      </w:r>
    </w:p>
    <w:p w14:paraId="1D8E91B6" w14:textId="172EEFFA" w:rsidR="00F2498F" w:rsidRDefault="00F2498F" w:rsidP="00F2498F">
      <w:pPr>
        <w:jc w:val="both"/>
      </w:pPr>
      <w:r>
        <w:t>Besides th</w:t>
      </w:r>
      <w:r w:rsidR="00B42B20">
        <w:t>o</w:t>
      </w:r>
      <w:r>
        <w:t xml:space="preserve">se parameters already in NR Uu PBCH payload, there are other parameters that may be </w:t>
      </w:r>
      <w:r w:rsidR="003A2906">
        <w:t>needed</w:t>
      </w:r>
      <w:r>
        <w:t xml:space="preserve"> for sidelink.</w:t>
      </w:r>
    </w:p>
    <w:p w14:paraId="08A5FC11" w14:textId="4EEF7285" w:rsidR="00803A64" w:rsidRDefault="00F2498F" w:rsidP="00803A64">
      <w:pPr>
        <w:pStyle w:val="ListParagraph"/>
        <w:numPr>
          <w:ilvl w:val="0"/>
          <w:numId w:val="12"/>
        </w:numPr>
        <w:jc w:val="both"/>
      </w:pPr>
      <w:r>
        <w:t>In-Coverage indication: this parameter will function similarly as in LTE V2X (1 bit).</w:t>
      </w:r>
    </w:p>
    <w:p w14:paraId="6D34AA13" w14:textId="77777777" w:rsidR="00911D12" w:rsidRDefault="00911D12" w:rsidP="00911D12">
      <w:pPr>
        <w:jc w:val="both"/>
      </w:pPr>
      <w:r w:rsidRPr="00F32770">
        <w:rPr>
          <w:b/>
        </w:rPr>
        <w:t xml:space="preserve">Proposal </w:t>
      </w:r>
      <w:r>
        <w:rPr>
          <w:b/>
        </w:rPr>
        <w:t>4</w:t>
      </w:r>
      <w:r>
        <w:t>: PSBCH carries sidelink frame number, sidelink SSB index, and coverage status indication.</w:t>
      </w:r>
    </w:p>
    <w:p w14:paraId="1DA31857" w14:textId="033AD145" w:rsidR="00803A64" w:rsidRDefault="00803A64" w:rsidP="00F2498F">
      <w:pPr>
        <w:jc w:val="both"/>
      </w:pPr>
      <w:r>
        <w:t xml:space="preserve">There are other parameters that may be necessary for sidelink in certain </w:t>
      </w:r>
      <w:r w:rsidR="00C27BBF">
        <w:t>scenarios but</w:t>
      </w:r>
      <w:r>
        <w:t xml:space="preserve"> could not be accommodated by PSBCH considering its limited capacity. One example is TDD configuration. TDD configuration is necessary when V2X is deployed on TDD spectrum, especially when UE is </w:t>
      </w:r>
      <w:r w:rsidR="00635E5C">
        <w:t xml:space="preserve">out of network coverage but is synchronized to </w:t>
      </w:r>
      <w:r w:rsidR="00617EA4">
        <w:t>a base station (</w:t>
      </w:r>
      <w:r>
        <w:t>partial coverage</w:t>
      </w:r>
      <w:r w:rsidR="00617EA4">
        <w:t>)</w:t>
      </w:r>
      <w:r>
        <w:t>. However, NR TDD configuration is very flexible, which means a large number of bits is needed to convey the configuration. For example, ~50 bits are needed to configure the two common TDD UL/DL patterns.</w:t>
      </w:r>
      <w:r w:rsidR="00617EA4">
        <w:t xml:space="preserve"> </w:t>
      </w:r>
      <w:r w:rsidR="009849B1">
        <w:t xml:space="preserve">Considering that the large number of bits </w:t>
      </w:r>
      <w:r w:rsidR="00DA3AAB">
        <w:t>is needed, i</w:t>
      </w:r>
      <w:r>
        <w:t xml:space="preserve">t </w:t>
      </w:r>
      <w:r w:rsidR="00617EA4">
        <w:t>seems</w:t>
      </w:r>
      <w:r>
        <w:t xml:space="preserve"> not feasible to carry TDD configuration in PSBCH.</w:t>
      </w:r>
    </w:p>
    <w:p w14:paraId="29AE8F4E" w14:textId="673E09F3" w:rsidR="00C27BBF" w:rsidRDefault="00C27BBF" w:rsidP="00F2498F">
      <w:pPr>
        <w:jc w:val="both"/>
      </w:pPr>
      <w:bookmarkStart w:id="3" w:name="_Hlk21003018"/>
      <w:r w:rsidRPr="00B1675A">
        <w:rPr>
          <w:b/>
        </w:rPr>
        <w:lastRenderedPageBreak/>
        <w:t>Observation 1:</w:t>
      </w:r>
      <w:r>
        <w:t xml:space="preserve"> overhead of signalling for NR TDD configuration is too large for PSBCH.</w:t>
      </w:r>
    </w:p>
    <w:bookmarkEnd w:id="3"/>
    <w:p w14:paraId="175B36A6" w14:textId="4A36C051" w:rsidR="00803A64" w:rsidRDefault="00C27BBF" w:rsidP="00F2498F">
      <w:pPr>
        <w:jc w:val="both"/>
      </w:pPr>
      <w:r>
        <w:t xml:space="preserve">Therefore, we need to study other options to convey TDD configuration, as well as other necessary sidelink </w:t>
      </w:r>
      <w:r w:rsidR="0076571F">
        <w:t xml:space="preserve">system </w:t>
      </w:r>
      <w:r>
        <w:t xml:space="preserve">configurations. </w:t>
      </w:r>
      <w:r w:rsidR="00617EA4">
        <w:t xml:space="preserve">One option to address the issue is to </w:t>
      </w:r>
      <w:r w:rsidR="00803A64">
        <w:t xml:space="preserve">introduce SIB for NR sidelink. This SIB carries </w:t>
      </w:r>
      <w:r w:rsidR="00C71AA9">
        <w:t>information that is necessary for UE to communicate on sidelink</w:t>
      </w:r>
      <w:r w:rsidR="00617EA4">
        <w:t xml:space="preserve"> in certain scenarios</w:t>
      </w:r>
      <w:r w:rsidR="00C71AA9">
        <w:t>. For example, TDD configuration</w:t>
      </w:r>
      <w:r w:rsidR="00B1675A">
        <w:t xml:space="preserve"> is indicated by the sidelink SIB</w:t>
      </w:r>
      <w:r w:rsidR="00C71AA9">
        <w:t xml:space="preserve"> when sidelink shares TDD spectrum, sidelink resource pool configuration </w:t>
      </w:r>
      <w:r w:rsidR="00B1675A">
        <w:t xml:space="preserve">is indicated by the SIB </w:t>
      </w:r>
      <w:r w:rsidR="00C71AA9">
        <w:t xml:space="preserve">when sidelink </w:t>
      </w:r>
      <w:r w:rsidR="00617EA4">
        <w:t>shares</w:t>
      </w:r>
      <w:r w:rsidR="00C71AA9">
        <w:t xml:space="preserve"> licensed spectrum. </w:t>
      </w:r>
      <w:r w:rsidR="00B1675A">
        <w:t>A straightforward implementation may be, t</w:t>
      </w:r>
      <w:r w:rsidR="00C71AA9">
        <w:t xml:space="preserve">he sidelink SIB </w:t>
      </w:r>
      <w:r w:rsidR="00B1675A">
        <w:t>is sent using PSSCH</w:t>
      </w:r>
      <w:r w:rsidR="00C71AA9">
        <w:t>.</w:t>
      </w:r>
    </w:p>
    <w:p w14:paraId="319B831D" w14:textId="2DC48E6A" w:rsidR="00617EA4" w:rsidRDefault="00617EA4" w:rsidP="00F2498F">
      <w:pPr>
        <w:jc w:val="both"/>
      </w:pPr>
      <w:r>
        <w:t xml:space="preserve">Alternatively, a set of parameters can be preconfigured for </w:t>
      </w:r>
      <w:r w:rsidR="00B34563">
        <w:t>sidelink</w:t>
      </w:r>
      <w:r w:rsidR="000344F3">
        <w:t xml:space="preserve"> sharing </w:t>
      </w:r>
      <w:r>
        <w:t xml:space="preserve">TDD </w:t>
      </w:r>
      <w:r w:rsidR="000344F3">
        <w:t>spectrum</w:t>
      </w:r>
      <w:r>
        <w:t xml:space="preserve">. </w:t>
      </w:r>
      <w:r w:rsidR="00986061">
        <w:t xml:space="preserve">Specifically, a limited number of TDD UL/DL configurations can be preconfigured. </w:t>
      </w:r>
      <w:r>
        <w:t>When UE</w:t>
      </w:r>
      <w:r w:rsidR="00986061">
        <w:t>s</w:t>
      </w:r>
      <w:r>
        <w:t xml:space="preserve"> communicating on sidelink require </w:t>
      </w:r>
      <w:r w:rsidR="00986061">
        <w:t>TDD configuration</w:t>
      </w:r>
      <w:r>
        <w:t xml:space="preserve">, </w:t>
      </w:r>
      <w:r w:rsidR="00986061">
        <w:t xml:space="preserve">one of </w:t>
      </w:r>
      <w:r>
        <w:t>the preconfigured configuration</w:t>
      </w:r>
      <w:r w:rsidR="00986061">
        <w:t xml:space="preserve">s can be selected and indicated by </w:t>
      </w:r>
      <w:r w:rsidR="00B23BA8">
        <w:t>S-</w:t>
      </w:r>
      <w:r w:rsidR="00986061">
        <w:t>SSB. Considering the standardization effort, complexity, and the signalling overhead</w:t>
      </w:r>
      <w:r w:rsidR="00C6288C">
        <w:t>, this approach is the most viable for V2X use cases.</w:t>
      </w:r>
    </w:p>
    <w:p w14:paraId="3A0C399D" w14:textId="61BB6FA6" w:rsidR="00C71AA9" w:rsidRDefault="00C71AA9" w:rsidP="00F2498F">
      <w:pPr>
        <w:jc w:val="both"/>
      </w:pPr>
      <w:bookmarkStart w:id="4" w:name="_Hlk21003040"/>
      <w:r w:rsidRPr="00F32770">
        <w:rPr>
          <w:b/>
        </w:rPr>
        <w:t xml:space="preserve">Proposal </w:t>
      </w:r>
      <w:r w:rsidR="00F06440">
        <w:rPr>
          <w:b/>
        </w:rPr>
        <w:t>5</w:t>
      </w:r>
      <w:r>
        <w:t xml:space="preserve">: </w:t>
      </w:r>
      <w:r w:rsidR="00C6288C">
        <w:t xml:space="preserve">A set of TDD configurations and their associated parameters are (pre)configured, and PSBCH sends the index into that (pre)configured set TDD configurations in PSBCH. </w:t>
      </w:r>
    </w:p>
    <w:bookmarkEnd w:id="4"/>
    <w:p w14:paraId="37AE2FE2" w14:textId="5DDC8136" w:rsidR="000232D1" w:rsidRPr="0012303C" w:rsidRDefault="000232D1" w:rsidP="000232D1">
      <w:pPr>
        <w:pStyle w:val="Heading2"/>
        <w:numPr>
          <w:ilvl w:val="2"/>
          <w:numId w:val="1"/>
        </w:numPr>
        <w:rPr>
          <w:sz w:val="24"/>
          <w:szCs w:val="24"/>
          <w:lang w:eastAsia="zh-CN"/>
        </w:rPr>
      </w:pPr>
      <w:r>
        <w:rPr>
          <w:sz w:val="24"/>
          <w:szCs w:val="24"/>
          <w:lang w:eastAsia="zh-CN"/>
        </w:rPr>
        <w:t xml:space="preserve">Channel </w:t>
      </w:r>
      <w:r w:rsidR="00A625E0">
        <w:rPr>
          <w:sz w:val="24"/>
          <w:szCs w:val="24"/>
          <w:lang w:eastAsia="zh-CN"/>
        </w:rPr>
        <w:t>E</w:t>
      </w:r>
      <w:r>
        <w:rPr>
          <w:sz w:val="24"/>
          <w:szCs w:val="24"/>
          <w:lang w:eastAsia="zh-CN"/>
        </w:rPr>
        <w:t xml:space="preserve">stimation for PSBCH </w:t>
      </w:r>
    </w:p>
    <w:p w14:paraId="0C11FF50" w14:textId="49C17178" w:rsidR="000232D1" w:rsidRDefault="000232D1" w:rsidP="00F2498F">
      <w:pPr>
        <w:jc w:val="both"/>
      </w:pPr>
      <w:r>
        <w:t xml:space="preserve">There was also a discussion in the last meeting on the method for channel estimation for PSBCH. We propose to use DMRS for PSBCH channel </w:t>
      </w:r>
      <w:r w:rsidR="008009A5">
        <w:t>estimation and</w:t>
      </w:r>
      <w:r>
        <w:t xml:space="preserve"> reuse the NR Uu PBCH DMRS design for the same.</w:t>
      </w:r>
    </w:p>
    <w:p w14:paraId="21E2A3B4" w14:textId="30EB63E5" w:rsidR="000232D1" w:rsidRPr="004D3239" w:rsidRDefault="000232D1" w:rsidP="00F2498F">
      <w:pPr>
        <w:jc w:val="both"/>
        <w:rPr>
          <w:b/>
        </w:rPr>
      </w:pPr>
      <w:r w:rsidRPr="004D3239">
        <w:rPr>
          <w:b/>
        </w:rPr>
        <w:t xml:space="preserve">Proposal </w:t>
      </w:r>
      <w:r>
        <w:rPr>
          <w:b/>
        </w:rPr>
        <w:t>6</w:t>
      </w:r>
      <w:r w:rsidRPr="004D3239">
        <w:rPr>
          <w:b/>
        </w:rPr>
        <w:t xml:space="preserve">: </w:t>
      </w:r>
      <w:r w:rsidRPr="004D3239">
        <w:t>PSBCH</w:t>
      </w:r>
      <w:r>
        <w:t xml:space="preserve"> transmissions </w:t>
      </w:r>
      <w:r w:rsidR="00C6288C">
        <w:t>reuse the NR Uu PBCH DMRS design and assume DMRS based channel estimation for PSBCH decoding.</w:t>
      </w:r>
    </w:p>
    <w:p w14:paraId="36A6AD3E" w14:textId="1D2AE4D5" w:rsidR="00CE4D50" w:rsidRPr="00CE4D50" w:rsidRDefault="00CE4D50" w:rsidP="00CE4D50">
      <w:pPr>
        <w:pStyle w:val="Heading1"/>
        <w:numPr>
          <w:ilvl w:val="0"/>
          <w:numId w:val="1"/>
        </w:numPr>
        <w:jc w:val="both"/>
        <w:rPr>
          <w:rFonts w:cs="Arial"/>
          <w:lang w:eastAsia="zh-CN"/>
        </w:rPr>
      </w:pPr>
      <w:r w:rsidRPr="00CE4D50">
        <w:rPr>
          <w:rFonts w:cs="Arial"/>
          <w:lang w:eastAsia="zh-CN"/>
        </w:rPr>
        <w:t xml:space="preserve">Sidelink SSB </w:t>
      </w:r>
      <w:r w:rsidR="00A625E0">
        <w:rPr>
          <w:rFonts w:cs="Arial"/>
          <w:lang w:eastAsia="zh-CN"/>
        </w:rPr>
        <w:t>R</w:t>
      </w:r>
      <w:r w:rsidR="00A625E0" w:rsidRPr="00CE4D50">
        <w:rPr>
          <w:rFonts w:cs="Arial"/>
          <w:lang w:eastAsia="zh-CN"/>
        </w:rPr>
        <w:t>epetition</w:t>
      </w:r>
    </w:p>
    <w:p w14:paraId="5AA47B3D" w14:textId="566198E5" w:rsidR="009E1DAC" w:rsidRDefault="009E1DAC" w:rsidP="00CE4D50">
      <w:pPr>
        <w:jc w:val="both"/>
      </w:pPr>
      <w:r>
        <w:t>SSB repetition is necessary for beam sweeping in FR2. While in FR1, SSB repetition has the potential to improve the detection performance. SSB repetition is already a key feature in NR Uu, it is natural that NR sidelink follows the same design principle.</w:t>
      </w:r>
    </w:p>
    <w:p w14:paraId="79337862" w14:textId="40C63D9C" w:rsidR="009E1DAC" w:rsidRDefault="00BD17DC" w:rsidP="00CE4D50">
      <w:pPr>
        <w:jc w:val="both"/>
      </w:pPr>
      <w:r>
        <w:t xml:space="preserve">For NR sidelink, </w:t>
      </w:r>
      <w:r w:rsidR="00B34563">
        <w:t xml:space="preserve">SSB </w:t>
      </w:r>
      <w:r>
        <w:t xml:space="preserve">repetition also has the potential to improve synchronization performance comparing to LTE sidelink. In a network with hierarchical synchronization structure, it is important that synchronization source with higher priority is prioritized. Specifically, timing derived from a UE directly synchronized to GNSS usually has higher reliability than timing derived from a UE indirectly synchronized to GNSS; and ideally, a UE should always be synchronized to a source with higher reliability. </w:t>
      </w:r>
    </w:p>
    <w:p w14:paraId="40D25B41" w14:textId="3ECFDFAB" w:rsidR="00711448" w:rsidRDefault="00BD17DC" w:rsidP="00CE4D50">
      <w:pPr>
        <w:jc w:val="both"/>
      </w:pPr>
      <w:r>
        <w:t>We can simply take advantage of SSB repetition to achieve this. For example, when multiple SSB resources are configured</w:t>
      </w:r>
      <w:r w:rsidR="00B34563">
        <w:t xml:space="preserve"> within a</w:t>
      </w:r>
      <w:r w:rsidR="00AC08C6">
        <w:t>n</w:t>
      </w:r>
      <w:r w:rsidR="00B34563">
        <w:t xml:space="preserve"> SSB period</w:t>
      </w:r>
      <w:r>
        <w:t xml:space="preserve">, a UE with higher priority may send SSB in </w:t>
      </w:r>
      <w:r w:rsidR="00711448">
        <w:t>more resources</w:t>
      </w:r>
      <w:r w:rsidR="00B34563">
        <w:t xml:space="preserve"> than a UE with lower priority.</w:t>
      </w:r>
      <w:r w:rsidR="00711448">
        <w:t xml:space="preserve"> </w:t>
      </w:r>
      <w:r w:rsidR="009849B1">
        <w:t>As a result</w:t>
      </w:r>
      <w:r w:rsidR="00711448">
        <w:t xml:space="preserve">, it </w:t>
      </w:r>
      <w:r w:rsidR="009849B1">
        <w:t>would be</w:t>
      </w:r>
      <w:r w:rsidR="00711448">
        <w:t xml:space="preserve"> more probable that a UE is synchronized to </w:t>
      </w:r>
      <w:r w:rsidR="009849B1">
        <w:t>a</w:t>
      </w:r>
      <w:r w:rsidR="00711448">
        <w:t xml:space="preserve"> higher priority UE when searching for SSB. The details </w:t>
      </w:r>
      <w:r w:rsidR="009849B1">
        <w:t>can be discussed further</w:t>
      </w:r>
      <w:r w:rsidR="00711448">
        <w:t>.</w:t>
      </w:r>
    </w:p>
    <w:p w14:paraId="3A9001BF" w14:textId="61E53558" w:rsidR="00CE4D50" w:rsidRDefault="00711448" w:rsidP="00CE4D50">
      <w:pPr>
        <w:jc w:val="both"/>
      </w:pPr>
      <w:bookmarkStart w:id="5" w:name="_Hlk21003013"/>
      <w:r w:rsidRPr="00F32770">
        <w:rPr>
          <w:b/>
        </w:rPr>
        <w:t xml:space="preserve">Proposal </w:t>
      </w:r>
      <w:r w:rsidR="00C6288C">
        <w:rPr>
          <w:b/>
        </w:rPr>
        <w:t>7</w:t>
      </w:r>
      <w:r w:rsidRPr="00F32770">
        <w:rPr>
          <w:b/>
        </w:rPr>
        <w:t>:</w:t>
      </w:r>
      <w:r>
        <w:t xml:space="preserve"> SSB repetition is supported for NR sidelink; the repetition is performed such that, SSB </w:t>
      </w:r>
      <w:r w:rsidR="009849B1">
        <w:t xml:space="preserve">transmission </w:t>
      </w:r>
      <w:r>
        <w:t>from a higher priority synchronization source is repeated more times than SSB from a lower priority synchronization source.</w:t>
      </w:r>
      <w:bookmarkEnd w:id="5"/>
    </w:p>
    <w:p w14:paraId="3EFC0FBB" w14:textId="72ECC020" w:rsidR="00A917AE" w:rsidRDefault="00A917AE" w:rsidP="00A917AE">
      <w:pPr>
        <w:pStyle w:val="Heading1"/>
        <w:numPr>
          <w:ilvl w:val="0"/>
          <w:numId w:val="1"/>
        </w:numPr>
        <w:jc w:val="both"/>
        <w:rPr>
          <w:rFonts w:cs="Arial"/>
          <w:lang w:eastAsia="zh-CN"/>
        </w:rPr>
      </w:pPr>
      <w:r>
        <w:rPr>
          <w:rFonts w:cs="Arial"/>
          <w:lang w:eastAsia="zh-CN"/>
        </w:rPr>
        <w:t xml:space="preserve">Synchronization </w:t>
      </w:r>
      <w:r w:rsidR="00A625E0">
        <w:rPr>
          <w:rFonts w:cs="Arial"/>
          <w:lang w:eastAsia="zh-CN"/>
        </w:rPr>
        <w:t xml:space="preserve">Procedure </w:t>
      </w:r>
      <w:r w:rsidR="004513A0">
        <w:rPr>
          <w:rFonts w:cs="Arial"/>
          <w:lang w:eastAsia="zh-CN"/>
        </w:rPr>
        <w:t xml:space="preserve">– </w:t>
      </w:r>
      <w:r w:rsidR="00A625E0">
        <w:rPr>
          <w:rFonts w:cs="Arial"/>
          <w:lang w:eastAsia="zh-CN"/>
        </w:rPr>
        <w:t xml:space="preserve">Correction </w:t>
      </w:r>
      <w:r w:rsidR="004513A0">
        <w:rPr>
          <w:rFonts w:cs="Arial"/>
          <w:lang w:eastAsia="zh-CN"/>
        </w:rPr>
        <w:t xml:space="preserve">to R14/R15 </w:t>
      </w:r>
      <w:r w:rsidR="00A625E0">
        <w:rPr>
          <w:rFonts w:cs="Arial"/>
          <w:lang w:eastAsia="zh-CN"/>
        </w:rPr>
        <w:t>Procedure</w:t>
      </w:r>
    </w:p>
    <w:p w14:paraId="1D55B817" w14:textId="77777777" w:rsidR="00614065" w:rsidRDefault="00A917AE" w:rsidP="00A917AE">
      <w:pPr>
        <w:jc w:val="both"/>
        <w:rPr>
          <w:lang w:eastAsia="zh-CN"/>
        </w:rPr>
      </w:pPr>
      <w:r>
        <w:rPr>
          <w:lang w:eastAsia="zh-CN"/>
        </w:rPr>
        <w:t xml:space="preserve">In this section, </w:t>
      </w:r>
      <w:r w:rsidR="00614065">
        <w:rPr>
          <w:lang w:eastAsia="zh-CN"/>
        </w:rPr>
        <w:t xml:space="preserve">we provide our proposals on NR synchronization procedure. </w:t>
      </w:r>
    </w:p>
    <w:p w14:paraId="2BCA69A8" w14:textId="696DD517" w:rsidR="00D23855" w:rsidRDefault="00AB7335" w:rsidP="00A917AE">
      <w:pPr>
        <w:jc w:val="both"/>
        <w:rPr>
          <w:lang w:eastAsia="zh-CN"/>
        </w:rPr>
      </w:pPr>
      <w:r>
        <w:rPr>
          <w:lang w:eastAsia="zh-CN"/>
        </w:rPr>
        <w:t>W</w:t>
      </w:r>
      <w:r w:rsidR="00614065">
        <w:rPr>
          <w:lang w:eastAsia="zh-CN"/>
        </w:rPr>
        <w:t xml:space="preserve">e </w:t>
      </w:r>
      <w:r w:rsidR="00D23855">
        <w:rPr>
          <w:lang w:eastAsia="zh-CN"/>
        </w:rPr>
        <w:t xml:space="preserve">provide some simulation results and propose a correction to the R14/15 procedure. This correction is needed to facilitate merging of asynchronous clusters. </w:t>
      </w:r>
    </w:p>
    <w:p w14:paraId="6DC06709" w14:textId="68983F3D" w:rsidR="00D23855" w:rsidRDefault="004513A0" w:rsidP="00F32770">
      <w:pPr>
        <w:jc w:val="both"/>
      </w:pPr>
      <w:bookmarkStart w:id="6" w:name="_Ref534967876"/>
      <w:r>
        <w:t>W</w:t>
      </w:r>
      <w:r w:rsidR="00D23855">
        <w:t xml:space="preserve">e evaluated the performance of the distributed synchronization procedure as defined in R14/15 using assumptions in Appendix B </w:t>
      </w:r>
      <w:r w:rsidR="00D36114">
        <w:t xml:space="preserve">assuming </w:t>
      </w:r>
      <w:r w:rsidR="00D23855">
        <w:t xml:space="preserve">no UEs </w:t>
      </w:r>
      <w:r w:rsidR="00D36114">
        <w:t xml:space="preserve">are </w:t>
      </w:r>
      <w:r w:rsidR="00D23855">
        <w:t>under GNSS coverage</w:t>
      </w:r>
      <w:r w:rsidR="00D36114">
        <w:t xml:space="preserve"> (i.e., no UEs can be synchronized to GNSS</w:t>
      </w:r>
      <w:r w:rsidR="00D23855">
        <w:t xml:space="preserve">). In this case, multiple independent synchronization sources </w:t>
      </w:r>
      <w:r w:rsidR="002D3D5D">
        <w:t>are formed. However, during this exercise, we noticed an issue in the R14 procedure that prevents different independent clusters to merge.</w:t>
      </w:r>
    </w:p>
    <w:p w14:paraId="36CFB8B4" w14:textId="06BC60D7" w:rsidR="002D3D5D" w:rsidRDefault="002D3D5D" w:rsidP="009C5688">
      <w:pPr>
        <w:jc w:val="both"/>
      </w:pPr>
      <w:r>
        <w:lastRenderedPageBreak/>
        <w:t>In case of no-GNSS UEs, all the UEs that are synchronization sources are independent synchronization sources and choose an ID between 170-335.</w:t>
      </w:r>
      <w:r w:rsidR="009C5688">
        <w:t xml:space="preserve"> In terms of SyncRef UE (re)selection, the priority of all such independent synchronization sources is assumed to be the same and SyncRef UE (re)selection is done based on RSRP alone. This presents a problem in merging of asynchronous clusters (even when some of the UEs can see the other cluster).</w:t>
      </w:r>
    </w:p>
    <w:p w14:paraId="5B0190AA" w14:textId="1A5CD81B" w:rsidR="009C5688" w:rsidRDefault="00FE2320" w:rsidP="00FE2320">
      <w:pPr>
        <w:keepNext/>
        <w:jc w:val="center"/>
      </w:pPr>
      <w:r>
        <w:object w:dxaOrig="11173" w:dyaOrig="6369" w14:anchorId="065BA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242.4pt" o:ole="">
            <v:imagedata r:id="rId13" o:title=""/>
          </v:shape>
          <o:OLEObject Type="Embed" ProgID="Visio.Drawing.11" ShapeID="_x0000_i1025" DrawAspect="Content" ObjectID="_1631962406" r:id="rId14"/>
        </w:object>
      </w:r>
    </w:p>
    <w:p w14:paraId="650441A6" w14:textId="57405A2D" w:rsidR="009C5688" w:rsidRPr="00F32770" w:rsidRDefault="009C5688" w:rsidP="009C5688">
      <w:pPr>
        <w:pStyle w:val="Caption"/>
        <w:jc w:val="center"/>
        <w:rPr>
          <w:i w:val="0"/>
          <w:color w:val="auto"/>
          <w:sz w:val="20"/>
          <w:szCs w:val="20"/>
        </w:rPr>
      </w:pPr>
      <w:r w:rsidRPr="00F32770">
        <w:rPr>
          <w:i w:val="0"/>
          <w:color w:val="auto"/>
          <w:sz w:val="20"/>
          <w:szCs w:val="20"/>
        </w:rPr>
        <w:t>Fig</w:t>
      </w:r>
      <w:r w:rsidR="00F32770">
        <w:rPr>
          <w:i w:val="0"/>
          <w:color w:val="auto"/>
          <w:sz w:val="20"/>
          <w:szCs w:val="20"/>
        </w:rPr>
        <w:t xml:space="preserve">. </w:t>
      </w:r>
      <w:r w:rsidR="00FE2320">
        <w:rPr>
          <w:i w:val="0"/>
          <w:color w:val="auto"/>
          <w:sz w:val="20"/>
          <w:szCs w:val="20"/>
        </w:rPr>
        <w:t>1</w:t>
      </w:r>
      <w:r w:rsidRPr="00F32770">
        <w:rPr>
          <w:i w:val="0"/>
          <w:color w:val="auto"/>
          <w:sz w:val="20"/>
          <w:szCs w:val="20"/>
        </w:rPr>
        <w:t>: Illustration of the problem in R14/15 procedure in merging of independent clusters</w:t>
      </w:r>
    </w:p>
    <w:p w14:paraId="56B217CE" w14:textId="3CF9961B" w:rsidR="009C5688" w:rsidRDefault="00D35E26" w:rsidP="00D35E26">
      <w:pPr>
        <w:jc w:val="both"/>
      </w:pPr>
      <w:r>
        <w:t>For the example scenario above, the UE at the edge of the cluster may see other SyncRef UE from another cluster but may not (re)select to the other cluster as RSRP to the SyncRef UE in current cluster. This will naturally form a boundary around the clusters where the UEs at the boundary don’t leave there cluster even though they can detect SyncRef UEs of other clusters. This problem can also be observed at the system level simulations as presented below.</w:t>
      </w:r>
    </w:p>
    <w:p w14:paraId="62C3B0A1" w14:textId="48B5EFA4" w:rsidR="00D35E26" w:rsidRDefault="00D35E26" w:rsidP="00D35E26">
      <w:pPr>
        <w:jc w:val="both"/>
      </w:pPr>
      <w:r>
        <w:t xml:space="preserve">The problem occurs since all the IDs in 170-335 have the same priority. In contrast, if we say priority of 170 &gt; 171 &gt; .. &gt; 335, then the clusters will always try to merge towards the lowest priority SyncRef UE it detects within the OOC set (as long RSRP&gt;threshold to ensure quality of the SyncRef UE is above a threshold as per current specification). When a UE decides to be become independent synchronization source, it still randomly picks up a SLSIID within the set [170, 355] as per R14/15 specification. </w:t>
      </w:r>
    </w:p>
    <w:p w14:paraId="06B751CE" w14:textId="33BEF2FC" w:rsidR="00D35E26" w:rsidRDefault="00D35E26" w:rsidP="00D35E26">
      <w:pPr>
        <w:jc w:val="both"/>
      </w:pPr>
      <w:r>
        <w:t xml:space="preserve">Simulation results </w:t>
      </w:r>
      <w:r w:rsidR="001D6F21">
        <w:t xml:space="preserve">in Fig.2 </w:t>
      </w:r>
      <w:r>
        <w:t xml:space="preserve">show the PRR and synchronization performance to illustrate that problem occurs in system simulations as well and can </w:t>
      </w:r>
      <w:r w:rsidR="00A94A66">
        <w:t>severely</w:t>
      </w:r>
      <w:r>
        <w:t xml:space="preserve"> affect system performance (due to lack of common network wide synchronization)</w:t>
      </w:r>
      <w:r w:rsidR="00A94A66">
        <w:t>.</w:t>
      </w:r>
    </w:p>
    <w:p w14:paraId="5F6E0289" w14:textId="77777777" w:rsidR="00A94A66" w:rsidRDefault="00A94A66" w:rsidP="00F32770">
      <w:pPr>
        <w:keepNext/>
        <w:jc w:val="center"/>
      </w:pPr>
      <w:r>
        <w:rPr>
          <w:noProof/>
          <w:color w:val="1F3864"/>
        </w:rPr>
        <w:lastRenderedPageBreak/>
        <w:drawing>
          <wp:inline distT="0" distB="0" distL="0" distR="0" wp14:anchorId="67ABEAB6" wp14:editId="633284E1">
            <wp:extent cx="3782461" cy="2838893"/>
            <wp:effectExtent l="0" t="0" r="0" b="0"/>
            <wp:docPr id="2" name="Picture 2" descr="cid:image002.png@01D54C80.9AC6E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4C80.9AC6EAB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798401" cy="2850857"/>
                    </a:xfrm>
                    <a:prstGeom prst="rect">
                      <a:avLst/>
                    </a:prstGeom>
                    <a:noFill/>
                    <a:ln>
                      <a:noFill/>
                    </a:ln>
                  </pic:spPr>
                </pic:pic>
              </a:graphicData>
            </a:graphic>
          </wp:inline>
        </w:drawing>
      </w:r>
    </w:p>
    <w:p w14:paraId="53D47C10" w14:textId="5AD05EDE" w:rsidR="00A94A66" w:rsidRPr="00F32770" w:rsidRDefault="00A94A66" w:rsidP="00F32770">
      <w:pPr>
        <w:pStyle w:val="Caption"/>
        <w:jc w:val="center"/>
        <w:rPr>
          <w:i w:val="0"/>
          <w:color w:val="auto"/>
        </w:rPr>
      </w:pPr>
      <w:bookmarkStart w:id="7" w:name="_Ref16769502"/>
      <w:r w:rsidRPr="00F32770">
        <w:rPr>
          <w:i w:val="0"/>
          <w:color w:val="auto"/>
        </w:rPr>
        <w:t>Fig</w:t>
      </w:r>
      <w:r w:rsidR="00F32770">
        <w:rPr>
          <w:i w:val="0"/>
          <w:color w:val="auto"/>
        </w:rPr>
        <w:t xml:space="preserve">. </w:t>
      </w:r>
      <w:bookmarkEnd w:id="7"/>
      <w:r w:rsidR="00FE2320">
        <w:rPr>
          <w:i w:val="0"/>
          <w:color w:val="auto"/>
        </w:rPr>
        <w:t>2</w:t>
      </w:r>
      <w:r w:rsidRPr="00F32770">
        <w:rPr>
          <w:i w:val="0"/>
          <w:color w:val="auto"/>
        </w:rPr>
        <w:t>: PRR vs Distance for (a) Perfect GNSS synchronization, (b) Sidelink synchronization without any GNSS using R14/15 procedure, and (c) Sidelink sync with lower OOC SLSS ID having higher priority than higher SLSS ID</w:t>
      </w:r>
    </w:p>
    <w:p w14:paraId="7CEA1684" w14:textId="06D4416B" w:rsidR="00D35E26" w:rsidRDefault="00A94A66" w:rsidP="00D35E26">
      <w:pPr>
        <w:jc w:val="both"/>
      </w:pPr>
      <w:r>
        <w:t>The PRR performance loss shown in</w:t>
      </w:r>
      <w:r w:rsidR="00F32770">
        <w:t xml:space="preserve"> Fig. </w:t>
      </w:r>
      <w:r w:rsidR="00FE2320">
        <w:t>2</w:t>
      </w:r>
      <w:r w:rsidR="00F32770">
        <w:t xml:space="preserve"> </w:t>
      </w:r>
      <w:r w:rsidR="00984068">
        <w:t>for the baseline R14/15 procedure occurs due to having multiple independent clusters co-existing even over a large period of simulation time (20sec).</w:t>
      </w:r>
      <w:r w:rsidR="005D091D">
        <w:t xml:space="preserve"> Hops are colour coded as follows: first hop (blue), second hop (red), third hop (yellow), fourth hop (purple). </w:t>
      </w:r>
    </w:p>
    <w:p w14:paraId="0504ACCB" w14:textId="17DE6663" w:rsidR="002B6F3D" w:rsidRPr="00F32770" w:rsidRDefault="002B6F3D" w:rsidP="00F32770">
      <w:pPr>
        <w:pStyle w:val="Caption"/>
        <w:keepNext/>
        <w:jc w:val="center"/>
        <w:rPr>
          <w:i w:val="0"/>
          <w:color w:val="auto"/>
        </w:rPr>
      </w:pPr>
      <w:r w:rsidRPr="00F32770">
        <w:rPr>
          <w:i w:val="0"/>
          <w:color w:val="auto"/>
        </w:rPr>
        <w:t xml:space="preserve">Table </w:t>
      </w:r>
      <w:r w:rsidR="00FE2320">
        <w:rPr>
          <w:i w:val="0"/>
          <w:color w:val="auto"/>
        </w:rPr>
        <w:t>1</w:t>
      </w:r>
      <w:r w:rsidRPr="00F32770">
        <w:rPr>
          <w:i w:val="0"/>
          <w:color w:val="auto"/>
        </w:rPr>
        <w:t>: Snapshot of synchronization links in the system after much runtime (20sec) in system without any GNSS-synced UEs. Note left figure (R14/15) leads to 2 independent clusters remaining, while right figure with the proposed change has only a single cluster</w:t>
      </w:r>
      <w:r w:rsidR="00BA68FA" w:rsidRPr="00F32770">
        <w:rPr>
          <w:i w:val="0"/>
          <w:color w:val="auto"/>
        </w:rPr>
        <w:t xml:space="preserve">. Independent synchronization sources are shown using cyan-coloured squares </w:t>
      </w:r>
      <w:r w:rsidR="005D091D" w:rsidRPr="00F32770">
        <w:rPr>
          <w:i w:val="0"/>
          <w:color w:val="auto"/>
        </w:rPr>
        <w:t xml:space="preserve">and highlighted </w:t>
      </w:r>
      <w:r w:rsidR="00BA68FA" w:rsidRPr="00F32770">
        <w:rPr>
          <w:i w:val="0"/>
          <w:color w:val="auto"/>
        </w:rPr>
        <w:t>in the figure.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657"/>
      </w:tblGrid>
      <w:tr w:rsidR="004C3E72" w14:paraId="544F5DF6" w14:textId="77777777" w:rsidTr="006A6BA4">
        <w:tc>
          <w:tcPr>
            <w:tcW w:w="4631" w:type="dxa"/>
            <w:tcBorders>
              <w:bottom w:val="single" w:sz="4" w:space="0" w:color="auto"/>
            </w:tcBorders>
          </w:tcPr>
          <w:p w14:paraId="1C24C77C" w14:textId="06516C8D" w:rsidR="002B6F3D" w:rsidRPr="00F32770" w:rsidRDefault="002B6F3D" w:rsidP="00F32770">
            <w:pPr>
              <w:spacing w:after="0"/>
              <w:jc w:val="center"/>
              <w:rPr>
                <w:b/>
              </w:rPr>
            </w:pPr>
            <w:r w:rsidRPr="00F32770">
              <w:rPr>
                <w:b/>
              </w:rPr>
              <w:t>R14/15 procedure</w:t>
            </w:r>
          </w:p>
        </w:tc>
        <w:tc>
          <w:tcPr>
            <w:tcW w:w="4719" w:type="dxa"/>
            <w:tcBorders>
              <w:bottom w:val="single" w:sz="4" w:space="0" w:color="auto"/>
            </w:tcBorders>
          </w:tcPr>
          <w:p w14:paraId="4A059C70" w14:textId="5F5E9E16" w:rsidR="002B6F3D" w:rsidRPr="00F32770" w:rsidRDefault="002B6F3D" w:rsidP="00F32770">
            <w:pPr>
              <w:spacing w:after="0"/>
              <w:jc w:val="center"/>
              <w:rPr>
                <w:b/>
              </w:rPr>
            </w:pPr>
            <w:r w:rsidRPr="00F32770">
              <w:rPr>
                <w:b/>
              </w:rPr>
              <w:t>R14/15 procedure + lower SLSS ID having higher priority than higher SLSS ID</w:t>
            </w:r>
            <w:r>
              <w:rPr>
                <w:b/>
              </w:rPr>
              <w:t xml:space="preserve"> (as proposed)</w:t>
            </w:r>
          </w:p>
        </w:tc>
      </w:tr>
      <w:tr w:rsidR="004C3E72" w14:paraId="25C0C602" w14:textId="77777777" w:rsidTr="006A6BA4">
        <w:tc>
          <w:tcPr>
            <w:tcW w:w="4631" w:type="dxa"/>
            <w:tcBorders>
              <w:top w:val="single" w:sz="4" w:space="0" w:color="auto"/>
            </w:tcBorders>
          </w:tcPr>
          <w:p w14:paraId="03D48814" w14:textId="577AFC50" w:rsidR="002B6F3D" w:rsidRDefault="005D091D" w:rsidP="00F32770">
            <w:pPr>
              <w:spacing w:after="0"/>
              <w:jc w:val="center"/>
            </w:pPr>
            <w:r w:rsidRPr="005D091D">
              <w:rPr>
                <w:noProof/>
                <w:color w:val="1F3864"/>
              </w:rPr>
              <w:drawing>
                <wp:inline distT="0" distB="0" distL="0" distR="0" wp14:anchorId="43F25911" wp14:editId="764BA738">
                  <wp:extent cx="3077155" cy="23092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8503" cy="2317764"/>
                          </a:xfrm>
                          <a:prstGeom prst="rect">
                            <a:avLst/>
                          </a:prstGeom>
                          <a:noFill/>
                          <a:ln>
                            <a:noFill/>
                          </a:ln>
                        </pic:spPr>
                      </pic:pic>
                    </a:graphicData>
                  </a:graphic>
                </wp:inline>
              </w:drawing>
            </w:r>
          </w:p>
        </w:tc>
        <w:tc>
          <w:tcPr>
            <w:tcW w:w="4719" w:type="dxa"/>
            <w:tcBorders>
              <w:top w:val="single" w:sz="4" w:space="0" w:color="auto"/>
            </w:tcBorders>
          </w:tcPr>
          <w:p w14:paraId="0B75155A" w14:textId="07D26CEB" w:rsidR="002B6F3D" w:rsidRDefault="005D091D" w:rsidP="00F32770">
            <w:pPr>
              <w:spacing w:after="0"/>
              <w:jc w:val="center"/>
            </w:pPr>
            <w:r w:rsidRPr="005D091D">
              <w:rPr>
                <w:noProof/>
              </w:rPr>
              <w:drawing>
                <wp:inline distT="0" distB="0" distL="0" distR="0" wp14:anchorId="0D65124D" wp14:editId="3251E401">
                  <wp:extent cx="3045267" cy="228531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0300" cy="2289095"/>
                          </a:xfrm>
                          <a:prstGeom prst="rect">
                            <a:avLst/>
                          </a:prstGeom>
                          <a:noFill/>
                          <a:ln>
                            <a:noFill/>
                          </a:ln>
                        </pic:spPr>
                      </pic:pic>
                    </a:graphicData>
                  </a:graphic>
                </wp:inline>
              </w:drawing>
            </w:r>
          </w:p>
        </w:tc>
      </w:tr>
    </w:tbl>
    <w:p w14:paraId="7771D447" w14:textId="77777777" w:rsidR="00984068" w:rsidRDefault="00984068" w:rsidP="00D35E26">
      <w:pPr>
        <w:jc w:val="both"/>
      </w:pPr>
    </w:p>
    <w:p w14:paraId="3A50554C" w14:textId="0CB09125" w:rsidR="00DD3FF6" w:rsidRDefault="00DD3FF6" w:rsidP="00D35E26">
      <w:pPr>
        <w:jc w:val="both"/>
      </w:pPr>
      <w:r>
        <w:t>Note in the figures above, hops are colour coded as follows: first hop (blue), second hop (red), third hop (yellow), and fourth hop (purple). Layout as wraparound, but hops are shown as direct lines.</w:t>
      </w:r>
    </w:p>
    <w:p w14:paraId="12CFDA0A" w14:textId="1B2D6E54" w:rsidR="00DD3FF6" w:rsidRDefault="00DD3FF6" w:rsidP="00D35E26">
      <w:pPr>
        <w:jc w:val="both"/>
      </w:pPr>
      <w:r>
        <w:t>Based on the above rationale and system simulations, we propose the following correction to the R14/15 SLSS based synchronization procedure.</w:t>
      </w:r>
    </w:p>
    <w:p w14:paraId="1D30EA08" w14:textId="313C670F" w:rsidR="00BE2ADE" w:rsidRPr="00F32770" w:rsidRDefault="00DD3FF6" w:rsidP="00F32770">
      <w:pPr>
        <w:jc w:val="both"/>
      </w:pPr>
      <w:bookmarkStart w:id="8" w:name="_Hlk21003052"/>
      <w:r w:rsidRPr="00F32770">
        <w:rPr>
          <w:b/>
        </w:rPr>
        <w:lastRenderedPageBreak/>
        <w:t xml:space="preserve">Proposal </w:t>
      </w:r>
      <w:r w:rsidR="00C6288C">
        <w:rPr>
          <w:b/>
        </w:rPr>
        <w:t>8</w:t>
      </w:r>
      <w:r w:rsidRPr="00F32770">
        <w:rPr>
          <w:b/>
        </w:rPr>
        <w:t>:</w:t>
      </w:r>
      <w:r>
        <w:t xml:space="preserve"> </w:t>
      </w:r>
      <w:r w:rsidR="00BE2ADE">
        <w:t xml:space="preserve">NR </w:t>
      </w:r>
      <w:proofErr w:type="spellStart"/>
      <w:r w:rsidR="00BE2ADE">
        <w:t>SyncRef</w:t>
      </w:r>
      <w:proofErr w:type="spellEnd"/>
      <w:r w:rsidR="00BE2ADE">
        <w:t xml:space="preserve"> UE (re)selection is enhanced from R14/15 SLSS based synchronization procedure by allocating higher priority to lower SLSS (SSB) ID within the out-of-coverage SLSS (SSB) ID set.</w:t>
      </w:r>
      <w:bookmarkEnd w:id="8"/>
    </w:p>
    <w:bookmarkEnd w:id="6"/>
    <w:p w14:paraId="79966A66" w14:textId="77777777" w:rsidR="00A917AE" w:rsidRPr="00677958" w:rsidRDefault="00A917AE" w:rsidP="00A917AE">
      <w:pPr>
        <w:pStyle w:val="Heading1"/>
        <w:numPr>
          <w:ilvl w:val="0"/>
          <w:numId w:val="1"/>
        </w:numPr>
        <w:jc w:val="both"/>
        <w:rPr>
          <w:rFonts w:cs="Arial"/>
          <w:lang w:eastAsia="zh-CN"/>
        </w:rPr>
      </w:pPr>
      <w:r>
        <w:rPr>
          <w:rFonts w:cs="Arial"/>
          <w:lang w:eastAsia="zh-CN"/>
        </w:rPr>
        <w:t>Conclusion</w:t>
      </w:r>
    </w:p>
    <w:p w14:paraId="1A7CB17C" w14:textId="77777777" w:rsidR="00A917AE" w:rsidRDefault="00A917AE" w:rsidP="00A917AE">
      <w:pPr>
        <w:jc w:val="both"/>
      </w:pPr>
      <w:r>
        <w:t>In this contribution, we propose the following aspects for NR V2X synchronization study:</w:t>
      </w:r>
    </w:p>
    <w:p w14:paraId="3CB1A136" w14:textId="77777777" w:rsidR="00A917AE" w:rsidRDefault="00A917AE" w:rsidP="00A917AE">
      <w:pPr>
        <w:jc w:val="both"/>
        <w:rPr>
          <w:i/>
        </w:rPr>
      </w:pPr>
      <w:r w:rsidRPr="00190FEB">
        <w:rPr>
          <w:i/>
        </w:rPr>
        <w:t xml:space="preserve">(Synchronization </w:t>
      </w:r>
      <w:r>
        <w:rPr>
          <w:i/>
        </w:rPr>
        <w:t>signal design)</w:t>
      </w:r>
    </w:p>
    <w:p w14:paraId="603818A2" w14:textId="77777777" w:rsidR="00F06440" w:rsidRPr="00543A27" w:rsidRDefault="00F06440" w:rsidP="00F06440">
      <w:pPr>
        <w:jc w:val="both"/>
      </w:pPr>
      <w:r w:rsidRPr="00543A27">
        <w:rPr>
          <w:b/>
        </w:rPr>
        <w:t>Proposal 1:</w:t>
      </w:r>
      <w:r w:rsidRPr="00543A27">
        <w:t xml:space="preserve">  </w:t>
      </w:r>
      <w:r>
        <w:t xml:space="preserve">NR </w:t>
      </w:r>
      <w:r w:rsidRPr="00543A27">
        <w:t xml:space="preserve">S-PSS uses the same polynomial </w:t>
      </w:r>
      <w:r>
        <w:t xml:space="preserve">as NR PSS </w:t>
      </w:r>
      <w:r w:rsidRPr="00543A27">
        <w:t xml:space="preserve">(i.e., x7+x4+1) and the same initial value, but </w:t>
      </w:r>
      <w:r>
        <w:t xml:space="preserve">uses </w:t>
      </w:r>
      <w:r w:rsidRPr="00543A27">
        <w:t xml:space="preserve">cyclic shifts </w:t>
      </w:r>
      <w:r>
        <w:t xml:space="preserve">{21, 64} (that differ from </w:t>
      </w:r>
      <w:r w:rsidRPr="00543A27">
        <w:t xml:space="preserve">NR </w:t>
      </w:r>
      <w:r>
        <w:t xml:space="preserve">Uu </w:t>
      </w:r>
      <w:r w:rsidRPr="00543A27">
        <w:t>PSS</w:t>
      </w:r>
      <w:r>
        <w:t>).</w:t>
      </w:r>
    </w:p>
    <w:p w14:paraId="6315D671" w14:textId="59D658F9" w:rsidR="00F06440" w:rsidRDefault="00F06440" w:rsidP="00F06440">
      <w:r w:rsidRPr="00543A27">
        <w:rPr>
          <w:b/>
        </w:rPr>
        <w:t>Proposal 2:</w:t>
      </w:r>
      <w:r w:rsidRPr="00543A27">
        <w:t xml:space="preserve">  S-SSS reuses the sequences of NR </w:t>
      </w:r>
      <w:r>
        <w:t xml:space="preserve">Uu </w:t>
      </w:r>
      <w:r w:rsidRPr="00543A27">
        <w:t>SSS.</w:t>
      </w:r>
    </w:p>
    <w:p w14:paraId="6A8A99A7" w14:textId="0CC01E09" w:rsidR="00F06440" w:rsidRDefault="00F06440" w:rsidP="00F06440">
      <w:pPr>
        <w:jc w:val="both"/>
      </w:pPr>
      <w:r>
        <w:rPr>
          <w:b/>
        </w:rPr>
        <w:t xml:space="preserve">Proposal 3: </w:t>
      </w:r>
      <w:r w:rsidRPr="00543A27">
        <w:t>Use same</w:t>
      </w:r>
      <w:r>
        <w:rPr>
          <w:b/>
        </w:rPr>
        <w:t xml:space="preserve"> </w:t>
      </w:r>
      <w:r>
        <w:t>MPR for S-PSS and S-SSS (and S-PSBCH) for S-SSB structure.</w:t>
      </w:r>
    </w:p>
    <w:p w14:paraId="62358DA2" w14:textId="551F29E0" w:rsidR="00F06440" w:rsidRDefault="00F06440" w:rsidP="00F06440">
      <w:pPr>
        <w:jc w:val="both"/>
      </w:pPr>
      <w:r w:rsidRPr="00F32770">
        <w:rPr>
          <w:b/>
        </w:rPr>
        <w:t xml:space="preserve">Proposal </w:t>
      </w:r>
      <w:r>
        <w:rPr>
          <w:b/>
        </w:rPr>
        <w:t>4</w:t>
      </w:r>
      <w:r>
        <w:t>: PSBCH carries sidelink frame number, sidelink SSB index, and coverage status indication.</w:t>
      </w:r>
    </w:p>
    <w:p w14:paraId="27966306" w14:textId="6F24F59C" w:rsidR="00911D12" w:rsidRDefault="00911D12" w:rsidP="00F06440">
      <w:pPr>
        <w:jc w:val="both"/>
      </w:pPr>
      <w:r w:rsidRPr="00B1675A">
        <w:rPr>
          <w:b/>
        </w:rPr>
        <w:t>Observation 1:</w:t>
      </w:r>
      <w:r>
        <w:t xml:space="preserve"> Overhead of signalling for NR TDD configuration is too large for PSBCH.</w:t>
      </w:r>
    </w:p>
    <w:p w14:paraId="7FD02349" w14:textId="64340E65" w:rsidR="001D6F21" w:rsidRDefault="00C6288C" w:rsidP="00C6288C">
      <w:pPr>
        <w:jc w:val="both"/>
      </w:pPr>
      <w:r w:rsidRPr="00F32770">
        <w:rPr>
          <w:b/>
        </w:rPr>
        <w:t xml:space="preserve">Proposal </w:t>
      </w:r>
      <w:r>
        <w:rPr>
          <w:b/>
        </w:rPr>
        <w:t>5</w:t>
      </w:r>
      <w:r>
        <w:t xml:space="preserve">: A set of TDD configurations and their associated parameters are (pre)configured, and PSBCH sends the index into that (pre)configured set TDD configurations in PSBCH. </w:t>
      </w:r>
    </w:p>
    <w:p w14:paraId="17827F12" w14:textId="77777777" w:rsidR="00C6288C" w:rsidRPr="00BA7F61" w:rsidRDefault="00C6288C" w:rsidP="00C6288C">
      <w:pPr>
        <w:jc w:val="both"/>
        <w:rPr>
          <w:b/>
        </w:rPr>
      </w:pPr>
      <w:r w:rsidRPr="00BA7F61">
        <w:rPr>
          <w:b/>
        </w:rPr>
        <w:t xml:space="preserve">Proposal </w:t>
      </w:r>
      <w:r>
        <w:rPr>
          <w:b/>
        </w:rPr>
        <w:t>6</w:t>
      </w:r>
      <w:r w:rsidRPr="00BA7F61">
        <w:rPr>
          <w:b/>
        </w:rPr>
        <w:t xml:space="preserve">: </w:t>
      </w:r>
      <w:r w:rsidRPr="00BA7F61">
        <w:t>PSBCH</w:t>
      </w:r>
      <w:r>
        <w:t xml:space="preserve"> transmissions reuse the NR Uu PBCH DMRS design and assume DMRS based channel estimation for PSBCH decoding.</w:t>
      </w:r>
    </w:p>
    <w:p w14:paraId="04F15FE0" w14:textId="77777777" w:rsidR="009849B1" w:rsidRDefault="009849B1" w:rsidP="009849B1">
      <w:pPr>
        <w:jc w:val="both"/>
        <w:rPr>
          <w:i/>
        </w:rPr>
      </w:pPr>
      <w:r w:rsidRPr="00190FEB">
        <w:rPr>
          <w:i/>
        </w:rPr>
        <w:t>(S</w:t>
      </w:r>
      <w:r>
        <w:rPr>
          <w:i/>
        </w:rPr>
        <w:t>S-SSB repetition)</w:t>
      </w:r>
    </w:p>
    <w:p w14:paraId="372FFDCA" w14:textId="14FFAEAE" w:rsidR="00F06440" w:rsidRDefault="00F06440" w:rsidP="00F06440">
      <w:pPr>
        <w:jc w:val="both"/>
      </w:pPr>
      <w:r w:rsidRPr="00F32770">
        <w:rPr>
          <w:b/>
        </w:rPr>
        <w:t xml:space="preserve">Proposal </w:t>
      </w:r>
      <w:r w:rsidR="00C6288C">
        <w:rPr>
          <w:b/>
        </w:rPr>
        <w:t>7</w:t>
      </w:r>
      <w:r w:rsidRPr="00F32770">
        <w:rPr>
          <w:b/>
        </w:rPr>
        <w:t>:</w:t>
      </w:r>
      <w:r>
        <w:t xml:space="preserve"> SSB repetition is supported for NR sidelink; the repetition is performed such that, SSB transmission from a higher priority synchronization source is repeated more times than SSB from a lower priority synchronization source.</w:t>
      </w:r>
    </w:p>
    <w:p w14:paraId="4A68B6D9" w14:textId="4448DE22" w:rsidR="00A917AE" w:rsidRDefault="00A917AE" w:rsidP="00A917AE">
      <w:pPr>
        <w:jc w:val="both"/>
        <w:rPr>
          <w:i/>
        </w:rPr>
      </w:pPr>
      <w:r>
        <w:rPr>
          <w:i/>
        </w:rPr>
        <w:t>(</w:t>
      </w:r>
      <w:r w:rsidRPr="00190FEB">
        <w:rPr>
          <w:i/>
        </w:rPr>
        <w:t>Synchronization requirements and procedure)</w:t>
      </w:r>
    </w:p>
    <w:p w14:paraId="56031E0B" w14:textId="4D100F83" w:rsidR="00F06440" w:rsidRDefault="00F06440" w:rsidP="00F06440">
      <w:pPr>
        <w:jc w:val="both"/>
      </w:pPr>
      <w:r w:rsidRPr="00F32770">
        <w:rPr>
          <w:b/>
        </w:rPr>
        <w:t xml:space="preserve">Proposal </w:t>
      </w:r>
      <w:r w:rsidR="00C6288C">
        <w:rPr>
          <w:b/>
        </w:rPr>
        <w:t>8</w:t>
      </w:r>
      <w:r w:rsidRPr="00F32770">
        <w:rPr>
          <w:b/>
        </w:rPr>
        <w:t>:</w:t>
      </w:r>
      <w:r>
        <w:t xml:space="preserve"> NR </w:t>
      </w:r>
      <w:proofErr w:type="spellStart"/>
      <w:r>
        <w:t>SyncRef</w:t>
      </w:r>
      <w:proofErr w:type="spellEnd"/>
      <w:r>
        <w:t xml:space="preserve"> UE (re)selection is enhanced from R14/15 SLSS based synchronization procedure by allocating higher priority to lower SLSS (SSB) ID within the out-of-coverage SLSS (SSB) ID set.</w:t>
      </w:r>
    </w:p>
    <w:bookmarkEnd w:id="0"/>
    <w:p w14:paraId="104AFD9E" w14:textId="77777777" w:rsidR="00A917AE" w:rsidRDefault="00A917AE" w:rsidP="00A917AE">
      <w:pPr>
        <w:pStyle w:val="Heading1"/>
        <w:jc w:val="both"/>
      </w:pPr>
      <w:r>
        <w:t>References</w:t>
      </w:r>
    </w:p>
    <w:p w14:paraId="79730486" w14:textId="6BDCC3FE" w:rsidR="00447104" w:rsidRPr="004D3239" w:rsidRDefault="00DA3AAB" w:rsidP="00447104">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#97, Chairman’s Notes, May, 2019.</w:t>
      </w:r>
    </w:p>
    <w:p w14:paraId="679EA435" w14:textId="1CE00E97" w:rsidR="00F06440" w:rsidRPr="00F06440" w:rsidRDefault="00F06440">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 Chairman’s Notes</w:t>
      </w:r>
      <w:r>
        <w:rPr>
          <w:bCs/>
          <w:kern w:val="2"/>
        </w:rPr>
        <w:t>, Aug. 2019.</w:t>
      </w:r>
    </w:p>
    <w:p w14:paraId="19D06FFE" w14:textId="4C8176E6" w:rsidR="00447104" w:rsidRDefault="00447104" w:rsidP="00447104">
      <w:pPr>
        <w:jc w:val="both"/>
      </w:pPr>
    </w:p>
    <w:p w14:paraId="1DBB36E4" w14:textId="42248D6B" w:rsidR="00447104" w:rsidRDefault="00447104" w:rsidP="00447104">
      <w:pPr>
        <w:jc w:val="both"/>
      </w:pPr>
    </w:p>
    <w:p w14:paraId="0F522275" w14:textId="50442867" w:rsidR="00FE2320" w:rsidRDefault="00FE2320" w:rsidP="00447104">
      <w:pPr>
        <w:jc w:val="both"/>
      </w:pPr>
    </w:p>
    <w:p w14:paraId="61CEDFA4" w14:textId="754A681D" w:rsidR="00FE2320" w:rsidRDefault="00FE2320" w:rsidP="00447104">
      <w:pPr>
        <w:jc w:val="both"/>
      </w:pPr>
    </w:p>
    <w:p w14:paraId="42890D2E" w14:textId="77777777" w:rsidR="00FE2320" w:rsidRDefault="00FE2320" w:rsidP="00447104">
      <w:pPr>
        <w:jc w:val="both"/>
      </w:pPr>
    </w:p>
    <w:p w14:paraId="70C1FEB3" w14:textId="77777777" w:rsidR="00FE2320" w:rsidRDefault="00FE2320" w:rsidP="00447104">
      <w:pPr>
        <w:jc w:val="both"/>
      </w:pPr>
    </w:p>
    <w:p w14:paraId="22403A6E" w14:textId="77777777" w:rsidR="00FE2320" w:rsidRDefault="00FE2320" w:rsidP="00447104">
      <w:pPr>
        <w:jc w:val="both"/>
      </w:pPr>
    </w:p>
    <w:p w14:paraId="47439413" w14:textId="77777777" w:rsidR="00A917AE" w:rsidRPr="0002400F" w:rsidRDefault="00A917AE" w:rsidP="00A917AE">
      <w:pPr>
        <w:pStyle w:val="Heading1"/>
        <w:jc w:val="both"/>
      </w:pPr>
      <w:r>
        <w:lastRenderedPageBreak/>
        <w:t>Appendix A</w:t>
      </w:r>
    </w:p>
    <w:p w14:paraId="7D1B9952" w14:textId="77777777" w:rsidR="00A917AE" w:rsidRDefault="00A917AE" w:rsidP="00A917AE"/>
    <w:p w14:paraId="26D5DBC5" w14:textId="0E099BC0" w:rsidR="00A917AE" w:rsidRPr="00937AAD" w:rsidRDefault="00A917AE" w:rsidP="00A917AE">
      <w:pPr>
        <w:rPr>
          <w:rFonts w:ascii="Arial" w:eastAsiaTheme="majorEastAsia" w:hAnsi="Arial" w:cstheme="majorBidi"/>
          <w:sz w:val="28"/>
          <w:szCs w:val="26"/>
        </w:rPr>
      </w:pPr>
      <w:r w:rsidRPr="00937AAD">
        <w:rPr>
          <w:rFonts w:ascii="Arial" w:eastAsiaTheme="majorEastAsia" w:hAnsi="Arial" w:cstheme="majorBidi"/>
          <w:sz w:val="28"/>
          <w:szCs w:val="26"/>
        </w:rPr>
        <w:t xml:space="preserve">Simulation and Modelling Assumption for the Results in Section </w:t>
      </w:r>
      <w:r w:rsidR="003C657B">
        <w:rPr>
          <w:rFonts w:ascii="Arial" w:eastAsiaTheme="majorEastAsia" w:hAnsi="Arial" w:cstheme="majorBidi"/>
          <w:sz w:val="28"/>
          <w:szCs w:val="26"/>
        </w:rPr>
        <w:t>4</w:t>
      </w:r>
    </w:p>
    <w:tbl>
      <w:tblPr>
        <w:tblStyle w:val="TableGrid"/>
        <w:tblW w:w="0" w:type="auto"/>
        <w:tblLook w:val="04A0" w:firstRow="1" w:lastRow="0" w:firstColumn="1" w:lastColumn="0" w:noHBand="0" w:noVBand="1"/>
      </w:tblPr>
      <w:tblGrid>
        <w:gridCol w:w="2875"/>
        <w:gridCol w:w="6475"/>
      </w:tblGrid>
      <w:tr w:rsidR="00A917AE" w14:paraId="54198DFE" w14:textId="77777777" w:rsidTr="00DA0AF8">
        <w:tc>
          <w:tcPr>
            <w:tcW w:w="2875" w:type="dxa"/>
          </w:tcPr>
          <w:p w14:paraId="755CED81" w14:textId="77777777" w:rsidR="00A917AE" w:rsidRPr="00A928CC" w:rsidRDefault="00A917AE" w:rsidP="00DA0AF8">
            <w:pPr>
              <w:spacing w:after="0"/>
              <w:rPr>
                <w:b/>
              </w:rPr>
            </w:pPr>
            <w:r w:rsidRPr="00A928CC">
              <w:rPr>
                <w:b/>
              </w:rPr>
              <w:t>Parameter</w:t>
            </w:r>
          </w:p>
        </w:tc>
        <w:tc>
          <w:tcPr>
            <w:tcW w:w="6475" w:type="dxa"/>
          </w:tcPr>
          <w:p w14:paraId="09105F02" w14:textId="77777777" w:rsidR="00A917AE" w:rsidRPr="00A928CC" w:rsidRDefault="00A917AE" w:rsidP="00DA0AF8">
            <w:pPr>
              <w:spacing w:after="0"/>
              <w:rPr>
                <w:b/>
              </w:rPr>
            </w:pPr>
            <w:r w:rsidRPr="00A928CC">
              <w:rPr>
                <w:b/>
              </w:rPr>
              <w:t>Value / Comment</w:t>
            </w:r>
          </w:p>
        </w:tc>
      </w:tr>
      <w:tr w:rsidR="00A917AE" w14:paraId="57F688E3" w14:textId="77777777" w:rsidTr="00DA0AF8">
        <w:tc>
          <w:tcPr>
            <w:tcW w:w="2875" w:type="dxa"/>
          </w:tcPr>
          <w:p w14:paraId="736920F0" w14:textId="77777777" w:rsidR="00A917AE" w:rsidRDefault="00A917AE" w:rsidP="00DA0AF8">
            <w:pPr>
              <w:spacing w:after="0"/>
            </w:pPr>
            <w:r>
              <w:t>Drop</w:t>
            </w:r>
          </w:p>
        </w:tc>
        <w:tc>
          <w:tcPr>
            <w:tcW w:w="6475" w:type="dxa"/>
          </w:tcPr>
          <w:p w14:paraId="232184F6" w14:textId="77777777" w:rsidR="00A917AE" w:rsidRDefault="00A917AE" w:rsidP="00DA0AF8">
            <w:pPr>
              <w:spacing w:after="0"/>
            </w:pPr>
            <w:r>
              <w:t>Urban Drop</w:t>
            </w:r>
          </w:p>
        </w:tc>
      </w:tr>
      <w:tr w:rsidR="00A917AE" w14:paraId="4B69084B" w14:textId="77777777" w:rsidTr="00DA0AF8">
        <w:tc>
          <w:tcPr>
            <w:tcW w:w="2875" w:type="dxa"/>
          </w:tcPr>
          <w:p w14:paraId="3E8B6DBD" w14:textId="77777777" w:rsidR="00A917AE" w:rsidRDefault="00A917AE" w:rsidP="00DA0AF8">
            <w:pPr>
              <w:spacing w:after="0"/>
            </w:pPr>
            <w:r>
              <w:t>XO time/frequency drift model</w:t>
            </w:r>
          </w:p>
        </w:tc>
        <w:tc>
          <w:tcPr>
            <w:tcW w:w="6475" w:type="dxa"/>
          </w:tcPr>
          <w:p w14:paraId="05FDBD56" w14:textId="77777777" w:rsidR="00A917AE" w:rsidRDefault="006137F9"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72553F44" w14:textId="77777777" w:rsidR="00A917AE" w:rsidRDefault="006137F9"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tc>
      </w:tr>
      <w:tr w:rsidR="00A917AE" w14:paraId="25BD80E9" w14:textId="77777777" w:rsidTr="00DA0AF8">
        <w:tc>
          <w:tcPr>
            <w:tcW w:w="2875" w:type="dxa"/>
          </w:tcPr>
          <w:p w14:paraId="176FF100" w14:textId="77777777" w:rsidR="00A917AE" w:rsidRDefault="00A917AE" w:rsidP="00DA0AF8">
            <w:pPr>
              <w:spacing w:after="0"/>
            </w:pPr>
            <w:r>
              <w:t>Tx accuracy requirements</w:t>
            </w:r>
          </w:p>
        </w:tc>
        <w:tc>
          <w:tcPr>
            <w:tcW w:w="6475" w:type="dxa"/>
          </w:tcPr>
          <w:p w14:paraId="3C7D58FA" w14:textId="77777777" w:rsidR="00A917AE" w:rsidRDefault="00A917AE" w:rsidP="00DA0AF8">
            <w:pPr>
              <w:spacing w:after="0"/>
              <w:rPr>
                <w:lang w:eastAsia="zh-CN"/>
              </w:rPr>
            </w:pPr>
            <w:r>
              <w:t xml:space="preserve">Maximum timing error </w:t>
            </w:r>
            <m:oMath>
              <m:r>
                <w:rPr>
                  <w:rFonts w:ascii="Cambria Math" w:hAnsi="Cambria Math"/>
                  <w:lang w:eastAsia="zh-CN"/>
                </w:rPr>
                <m:t>±</m:t>
              </m:r>
            </m:oMath>
            <w:r>
              <w:rPr>
                <w:lang w:eastAsia="zh-CN"/>
              </w:rPr>
              <w:t>12Ts (391ns)</w:t>
            </w:r>
          </w:p>
          <w:p w14:paraId="2FCB4FB4" w14:textId="77777777" w:rsidR="00A917AE" w:rsidRDefault="00A917AE" w:rsidP="00DA0AF8">
            <w:pPr>
              <w:spacing w:after="0"/>
            </w:pPr>
            <w:r>
              <w:rPr>
                <w:lang w:eastAsia="zh-CN"/>
              </w:rPr>
              <w:t xml:space="preserve">Maximum frequency error </w:t>
            </w:r>
            <m:oMath>
              <m:r>
                <w:rPr>
                  <w:rFonts w:ascii="Cambria Math" w:hAnsi="Cambria Math"/>
                  <w:lang w:eastAsia="zh-CN"/>
                </w:rPr>
                <m:t>±0.1ppm</m:t>
              </m:r>
            </m:oMath>
            <w:r>
              <w:rPr>
                <w:lang w:eastAsia="zh-CN"/>
              </w:rPr>
              <w:t xml:space="preserve"> </w:t>
            </w:r>
          </w:p>
        </w:tc>
      </w:tr>
      <w:tr w:rsidR="00A917AE" w14:paraId="3B5B91E9" w14:textId="77777777" w:rsidTr="00DA0AF8">
        <w:tc>
          <w:tcPr>
            <w:tcW w:w="2875" w:type="dxa"/>
          </w:tcPr>
          <w:p w14:paraId="72074049" w14:textId="77777777" w:rsidR="00A917AE" w:rsidRDefault="00A917AE" w:rsidP="00DA0AF8">
            <w:pPr>
              <w:spacing w:after="0"/>
            </w:pPr>
            <w:r>
              <w:t>Rx modelling to incorporate time/frequency errors</w:t>
            </w:r>
          </w:p>
        </w:tc>
        <w:tc>
          <w:tcPr>
            <w:tcW w:w="6475" w:type="dxa"/>
          </w:tcPr>
          <w:p w14:paraId="1B3A21F7" w14:textId="77777777" w:rsidR="00A917AE" w:rsidRDefault="00A917AE" w:rsidP="00DA0AF8">
            <w:pPr>
              <w:spacing w:after="0"/>
            </w:pPr>
            <w:r>
              <w:t>Declare decode failure if not ISI-free reception</w:t>
            </w:r>
          </w:p>
          <w:p w14:paraId="2035B482" w14:textId="77777777" w:rsidR="00A917AE" w:rsidRPr="00190FEB" w:rsidRDefault="006137F9" w:rsidP="00DA0AF8">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75AA669" w14:textId="77777777" w:rsidR="00A917AE" w:rsidRDefault="00A917AE" w:rsidP="00DA0AF8">
            <w:pPr>
              <w:spacing w:after="0"/>
              <w:rPr>
                <w:vertAlign w:val="superscript"/>
                <w:lang w:eastAsia="zh-CN"/>
              </w:rPr>
            </w:pPr>
            <w:r>
              <w:rPr>
                <w:lang w:eastAsia="zh-CN"/>
              </w:rPr>
              <w:t>CP</w:t>
            </w:r>
            <w:r w:rsidRPr="00190FEB">
              <w:rPr>
                <w:vertAlign w:val="superscript"/>
                <w:lang w:eastAsia="zh-CN"/>
              </w:rPr>
              <w:t>-</w:t>
            </w:r>
            <w:r>
              <w:rPr>
                <w:vertAlign w:val="superscript"/>
                <w:lang w:eastAsia="zh-CN"/>
              </w:rPr>
              <w:t xml:space="preserve"> </w:t>
            </w:r>
            <w:r w:rsidRPr="00190FEB">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2.3us; CP</w:t>
            </w:r>
            <w:r w:rsidRPr="00190FEB">
              <w:rPr>
                <w:vertAlign w:val="superscript"/>
                <w:lang w:eastAsia="zh-CN"/>
              </w:rPr>
              <w:t>-</w:t>
            </w:r>
            <w:r w:rsidRPr="00A928CC">
              <w:rPr>
                <w:lang w:eastAsia="zh-CN"/>
              </w:rPr>
              <w:t xml:space="preserve"> = 0.25 * 2.3us</w:t>
            </w:r>
            <w:r>
              <w:rPr>
                <w:lang w:eastAsia="zh-CN"/>
              </w:rPr>
              <w:t>; CP</w:t>
            </w:r>
            <w:r>
              <w:rPr>
                <w:vertAlign w:val="superscript"/>
                <w:lang w:eastAsia="zh-CN"/>
              </w:rPr>
              <w:t>+</w:t>
            </w:r>
            <w:r w:rsidRPr="00190FEB">
              <w:rPr>
                <w:lang w:eastAsia="zh-CN"/>
              </w:rPr>
              <w:t xml:space="preserve"> = 0.</w:t>
            </w:r>
            <w:r>
              <w:rPr>
                <w:lang w:eastAsia="zh-CN"/>
              </w:rPr>
              <w:t>7</w:t>
            </w:r>
            <w:r w:rsidRPr="00190FEB">
              <w:rPr>
                <w:lang w:eastAsia="zh-CN"/>
              </w:rPr>
              <w:t>5 * 2.3us</w:t>
            </w:r>
          </w:p>
          <w:p w14:paraId="165E52CA" w14:textId="31E381F1" w:rsidR="00974924" w:rsidRDefault="00974924" w:rsidP="006E7836">
            <w:pPr>
              <w:spacing w:after="0"/>
              <w:jc w:val="both"/>
            </w:pPr>
            <w:r>
              <w:t>Note: Alternately, we can also consider ISI/signal ratio being above a threshold (e.g. 10 or 20dB)</w:t>
            </w:r>
            <w:r w:rsidR="000A5B2A">
              <w:t xml:space="preserve"> for more realistic modelling of system performance.</w:t>
            </w:r>
          </w:p>
          <w:p w14:paraId="46762C89" w14:textId="77777777" w:rsidR="00974924" w:rsidRDefault="00974924" w:rsidP="00DA0AF8">
            <w:pPr>
              <w:spacing w:after="0"/>
            </w:pPr>
          </w:p>
          <w:p w14:paraId="7CE36971" w14:textId="3EE3DBDB" w:rsidR="00A917AE" w:rsidRDefault="00A917AE" w:rsidP="00DA0AF8">
            <w:pPr>
              <w:spacing w:after="0"/>
            </w:pPr>
            <w:r>
              <w:t>Declare decode failure if frequency error not within CFO pull range of 1 kHz</w:t>
            </w:r>
          </w:p>
          <w:p w14:paraId="3B511E72" w14:textId="77777777" w:rsidR="00A917AE" w:rsidRDefault="00A917AE" w:rsidP="00DA0AF8">
            <w:pPr>
              <w:spacing w:after="0"/>
            </w:pPr>
          </w:p>
          <w:p w14:paraId="3209C1C6" w14:textId="77777777" w:rsidR="00A917AE" w:rsidRDefault="00A917AE" w:rsidP="00DA0AF8">
            <w:pPr>
              <w:spacing w:after="0"/>
            </w:pPr>
            <w:r>
              <w:t xml:space="preserve">If ISI-free and CFO within pull range, decoding is attempted as normal based on the link level performance curves. </w:t>
            </w:r>
          </w:p>
        </w:tc>
      </w:tr>
    </w:tbl>
    <w:p w14:paraId="21C2634F" w14:textId="77777777" w:rsidR="00A917AE" w:rsidRDefault="00A917AE" w:rsidP="00A917AE"/>
    <w:p w14:paraId="79B4A711" w14:textId="788D6213" w:rsidR="00D71F11" w:rsidRDefault="00DA0AF8" w:rsidP="006E7836">
      <w:pPr>
        <w:pStyle w:val="Heading1"/>
        <w:jc w:val="both"/>
      </w:pPr>
      <w:r>
        <w:t xml:space="preserve">Appendix B. </w:t>
      </w:r>
      <w:r w:rsidR="004513A0">
        <w:t>Synchronization simulation modelling</w:t>
      </w:r>
    </w:p>
    <w:p w14:paraId="56648461" w14:textId="77777777" w:rsidR="00DA0AF8" w:rsidRDefault="00DA0AF8" w:rsidP="00DA0AF8">
      <w:pPr>
        <w:jc w:val="both"/>
        <w:rPr>
          <w:b/>
          <w:u w:val="single"/>
          <w:lang w:eastAsia="zh-CN"/>
        </w:rPr>
      </w:pPr>
      <w:r>
        <w:rPr>
          <w:b/>
          <w:u w:val="single"/>
          <w:lang w:eastAsia="zh-CN"/>
        </w:rPr>
        <w:t>UE oscillator modelling (frequency drift modelling at the UE)</w:t>
      </w:r>
    </w:p>
    <w:p w14:paraId="69376D2E" w14:textId="15A261BB" w:rsidR="00DA0AF8" w:rsidRDefault="00DA0AF8" w:rsidP="00DA0AF8">
      <w:pPr>
        <w:jc w:val="both"/>
        <w:rPr>
          <w:lang w:eastAsia="zh-CN"/>
        </w:rPr>
      </w:pPr>
      <w:r>
        <w:rPr>
          <w:lang w:eastAsia="zh-CN"/>
        </w:rPr>
        <w:t xml:space="preserve">When the UE is </w:t>
      </w:r>
      <w:r w:rsidR="00D36114">
        <w:rPr>
          <w:lang w:eastAsia="zh-CN"/>
        </w:rPr>
        <w:t xml:space="preserve">directly </w:t>
      </w:r>
      <w:r w:rsidR="00B13D06">
        <w:rPr>
          <w:lang w:eastAsia="zh-CN"/>
        </w:rPr>
        <w:t xml:space="preserve">synchronized to </w:t>
      </w:r>
      <w:r>
        <w:rPr>
          <w:lang w:eastAsia="zh-CN"/>
        </w:rPr>
        <w:t>GNSS,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0E6465CA" w14:textId="77777777" w:rsidR="00DA0AF8" w:rsidRDefault="00DA0AF8" w:rsidP="00DA0AF8">
      <w:pPr>
        <w:jc w:val="both"/>
        <w:rPr>
          <w:lang w:eastAsia="zh-CN"/>
        </w:rPr>
      </w:pPr>
      <w:r>
        <w:rPr>
          <w:lang w:eastAsia="zh-CN"/>
        </w:rPr>
        <w:t>When the UE loses GNSS coverage, the XO drift is modelled as:</w:t>
      </w:r>
    </w:p>
    <w:p w14:paraId="3CA1B553" w14:textId="77777777" w:rsidR="00DA0AF8" w:rsidRDefault="006137F9"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22B5FACF" w14:textId="43C07190" w:rsidR="00DA0AF8" w:rsidRDefault="00DA0AF8" w:rsidP="00DA0AF8">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w:t>
      </w:r>
      <w:r w:rsidR="00C821E4">
        <w:rPr>
          <w:lang w:eastAsia="zh-CN"/>
        </w:rPr>
        <w:t xml:space="preserve">synchronized to </w:t>
      </w:r>
      <w:r>
        <w:rPr>
          <w:lang w:eastAsia="zh-CN"/>
        </w:rPr>
        <w:t xml:space="preserve">GNSS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w:t>
      </w:r>
      <w:proofErr w:type="gramStart"/>
      <w:r>
        <w:rPr>
          <w:lang w:eastAsia="zh-CN"/>
        </w:rPr>
        <w:t>oscil</w:t>
      </w:r>
      <w:bookmarkStart w:id="9" w:name="_GoBack"/>
      <w:bookmarkEnd w:id="9"/>
      <w:r>
        <w:rPr>
          <w:lang w:eastAsia="zh-CN"/>
        </w:rPr>
        <w:t>lator.</w:t>
      </w:r>
      <w:proofErr w:type="gramEnd"/>
      <w:r>
        <w:rPr>
          <w:lang w:eastAsia="zh-CN"/>
        </w:rPr>
        <w:t xml:space="preserve"> The corresponding timing uncertainty is then the area under the triangle as:</w:t>
      </w:r>
    </w:p>
    <w:p w14:paraId="3A639FE1" w14:textId="77777777" w:rsidR="00DA0AF8" w:rsidRDefault="006137F9"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1AF95BEC" w14:textId="77777777" w:rsidR="00DA0AF8" w:rsidRDefault="00DA0AF8" w:rsidP="00DA0AF8">
      <w:pPr>
        <w:jc w:val="both"/>
        <w:rPr>
          <w:lang w:eastAsia="zh-CN"/>
        </w:rPr>
      </w:pPr>
      <w:r>
        <w:rPr>
          <w:lang w:eastAsia="zh-CN"/>
        </w:rPr>
        <w:t>If the UE is synchronized to another UE, the time and frequency uncertainty in the synchronization source is accounted for as an offset in the above equations, i.e. Tunc = Tunc (source) + Tunc (XO); Func = Func(source) + Func(XO). The oscillator still drifts from the time got synchronized to the UE.</w:t>
      </w:r>
    </w:p>
    <w:p w14:paraId="6B4836C3" w14:textId="2879ACD0" w:rsidR="00DA0AF8" w:rsidRDefault="00DA0AF8" w:rsidP="00DA0AF8">
      <w:pPr>
        <w:jc w:val="both"/>
        <w:rPr>
          <w:lang w:eastAsia="zh-CN"/>
        </w:rPr>
      </w:pPr>
      <w:r>
        <w:rPr>
          <w:lang w:eastAsia="zh-CN"/>
        </w:rPr>
        <w:t xml:space="preserve">At the initial time of drop, if the UE is not </w:t>
      </w:r>
      <w:r w:rsidR="00D36114">
        <w:rPr>
          <w:lang w:eastAsia="zh-CN"/>
        </w:rPr>
        <w:t xml:space="preserve">synchronized to </w:t>
      </w:r>
      <w:r>
        <w:rPr>
          <w:lang w:eastAsia="zh-CN"/>
        </w:rPr>
        <w:t xml:space="preserve">GNSS, the timing and frequency uncertainty is chosen uniformly in [-3.5us 3.5us] and [-100ppb, 100ppb], respectively. </w:t>
      </w:r>
    </w:p>
    <w:p w14:paraId="4C69C25D" w14:textId="77777777" w:rsidR="00DA0AF8" w:rsidRDefault="00DA0AF8" w:rsidP="00DA0AF8">
      <w:pPr>
        <w:jc w:val="both"/>
        <w:rPr>
          <w:b/>
          <w:u w:val="single"/>
          <w:lang w:eastAsia="zh-CN"/>
        </w:rPr>
      </w:pPr>
      <w:r>
        <w:rPr>
          <w:b/>
          <w:u w:val="single"/>
          <w:lang w:eastAsia="zh-CN"/>
        </w:rPr>
        <w:t>UE time / frequency error requirements for transmission</w:t>
      </w:r>
    </w:p>
    <w:p w14:paraId="10523671" w14:textId="77777777" w:rsidR="00DA0AF8" w:rsidRDefault="00DA0AF8" w:rsidP="00DA0AF8">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3CFF398F" w14:textId="77777777" w:rsidR="00DA0AF8" w:rsidRDefault="00DA0AF8" w:rsidP="00DA0AF8">
      <w:pPr>
        <w:jc w:val="both"/>
        <w:rPr>
          <w:lang w:eastAsia="zh-CN"/>
        </w:rPr>
      </w:pPr>
      <w:r>
        <w:rPr>
          <w:lang w:eastAsia="zh-CN"/>
        </w:rPr>
        <w:lastRenderedPageBreak/>
        <w:t>Based on the model above, if the UE loses GNSS synchronization, the UE can still guarantee that it can meet the time and frequency error requirements for the following times, respectively:</w:t>
      </w:r>
    </w:p>
    <w:p w14:paraId="264FF8BE" w14:textId="77777777" w:rsidR="00DA0AF8" w:rsidRDefault="00DA0AF8" w:rsidP="00DA0AF8">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65066A09" w14:textId="77777777" w:rsidR="00DA0AF8" w:rsidRDefault="00DA0AF8" w:rsidP="00DA0AF8">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21ED361" w14:textId="77777777" w:rsidR="00DA0AF8" w:rsidRDefault="00DA0AF8" w:rsidP="00DA0AF8">
      <w:pPr>
        <w:jc w:val="both"/>
        <w:rPr>
          <w:b/>
          <w:u w:val="single"/>
          <w:lang w:eastAsia="zh-CN"/>
        </w:rPr>
      </w:pPr>
      <w:r>
        <w:rPr>
          <w:b/>
          <w:u w:val="single"/>
          <w:lang w:eastAsia="zh-CN"/>
        </w:rPr>
        <w:t>Modelling of time/frequency error in reception</w:t>
      </w:r>
    </w:p>
    <w:p w14:paraId="33A01099" w14:textId="77777777" w:rsidR="00DA0AF8" w:rsidRDefault="00DA0AF8" w:rsidP="00DA0AF8">
      <w:pPr>
        <w:jc w:val="both"/>
        <w:rPr>
          <w:lang w:eastAsia="zh-CN"/>
        </w:rPr>
      </w:pPr>
      <w:r>
        <w:rPr>
          <w:lang w:eastAsia="zh-CN"/>
        </w:rPr>
        <w:t>Given the timing/frequency errors at the transmitter and the receiver, we use the following model to assume if the Rx UE can receive the transmission from the Tx UE.</w:t>
      </w:r>
    </w:p>
    <w:p w14:paraId="1EA987B0" w14:textId="77777777" w:rsidR="00DA0AF8" w:rsidRDefault="00DA0AF8" w:rsidP="00DA0AF8">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68C73710" w14:textId="77777777" w:rsidR="00DA0AF8" w:rsidRDefault="00DA0AF8" w:rsidP="00DA0AF8">
      <w:pPr>
        <w:jc w:val="both"/>
        <w:rPr>
          <w:lang w:eastAsia="zh-CN"/>
        </w:rPr>
      </w:pPr>
      <w:r>
        <w:rPr>
          <w:lang w:eastAsia="zh-CN"/>
        </w:rPr>
        <w:t>For ISI-free reception, we want to have</w:t>
      </w:r>
    </w:p>
    <w:p w14:paraId="3D984FA2" w14:textId="77777777" w:rsidR="00DA0AF8" w:rsidRPr="00A928CC" w:rsidRDefault="006137F9" w:rsidP="00DA0AF8">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1733C622" w14:textId="77777777" w:rsidR="00DA0AF8" w:rsidRDefault="00B1675A" w:rsidP="00DA0AF8">
      <w:pPr>
        <w:keepNext/>
        <w:jc w:val="center"/>
      </w:pPr>
      <w:r>
        <w:object w:dxaOrig="8724" w:dyaOrig="7435" w14:anchorId="54B0748D">
          <v:shape id="_x0000_i1026" type="#_x0000_t75" style="width:240.6pt;height:202.8pt" o:ole="">
            <v:imagedata r:id="rId19" o:title=""/>
          </v:shape>
          <o:OLEObject Type="Embed" ProgID="Visio.Drawing.11" ShapeID="_x0000_i1026" DrawAspect="Content" ObjectID="_1631962407" r:id="rId20"/>
        </w:object>
      </w:r>
    </w:p>
    <w:p w14:paraId="3844B662" w14:textId="5EE78153" w:rsidR="00DA0AF8" w:rsidRPr="00B1675A" w:rsidRDefault="00DA0AF8" w:rsidP="00DA0AF8">
      <w:pPr>
        <w:jc w:val="center"/>
        <w:rPr>
          <w:sz w:val="18"/>
          <w:szCs w:val="18"/>
        </w:rPr>
      </w:pPr>
      <w:r w:rsidRPr="00B1675A">
        <w:rPr>
          <w:sz w:val="18"/>
          <w:szCs w:val="18"/>
        </w:rPr>
        <w:t>Fig</w:t>
      </w:r>
      <w:r w:rsidR="00415208" w:rsidRPr="00B1675A">
        <w:rPr>
          <w:sz w:val="18"/>
          <w:szCs w:val="18"/>
        </w:rPr>
        <w:t>. B.</w:t>
      </w:r>
      <w:r w:rsidR="00A625E0">
        <w:rPr>
          <w:sz w:val="18"/>
          <w:szCs w:val="18"/>
        </w:rPr>
        <w:t>1</w:t>
      </w:r>
      <w:r w:rsidRPr="00B1675A">
        <w:rPr>
          <w:sz w:val="18"/>
          <w:szCs w:val="18"/>
        </w:rPr>
        <w:t>: Modelling assumption for ISI-free reception at the receiver</w:t>
      </w:r>
    </w:p>
    <w:p w14:paraId="3F1591A3" w14:textId="77777777" w:rsidR="00DA0AF8" w:rsidRDefault="00DA0AF8" w:rsidP="00DA0AF8">
      <w:pPr>
        <w:jc w:val="both"/>
      </w:pPr>
      <w:r>
        <w:t>For frequency error between transmitter and receiver, we assume a CFO pulling range of 1kHz (that can be achieved by DMRS symbols that are 0.5ms apart (slot length with 30kHz SCS).</w:t>
      </w:r>
    </w:p>
    <w:p w14:paraId="20407C19" w14:textId="3944BB6F" w:rsidR="00DA0AF8" w:rsidRDefault="00DA0AF8" w:rsidP="004D3239">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sectPr w:rsidR="00DA0A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D1E56" w14:textId="77777777" w:rsidR="007F7AD4" w:rsidRDefault="007F7AD4" w:rsidP="002B4298">
      <w:pPr>
        <w:spacing w:after="0"/>
      </w:pPr>
      <w:r>
        <w:separator/>
      </w:r>
    </w:p>
  </w:endnote>
  <w:endnote w:type="continuationSeparator" w:id="0">
    <w:p w14:paraId="04864F86" w14:textId="77777777" w:rsidR="007F7AD4" w:rsidRDefault="007F7AD4" w:rsidP="002B4298">
      <w:pPr>
        <w:spacing w:after="0"/>
      </w:pPr>
      <w:r>
        <w:continuationSeparator/>
      </w:r>
    </w:p>
  </w:endnote>
  <w:endnote w:type="continuationNotice" w:id="1">
    <w:p w14:paraId="7CDF6344" w14:textId="77777777" w:rsidR="007F7AD4" w:rsidRDefault="007F7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04C45" w14:textId="77777777" w:rsidR="007F7AD4" w:rsidRDefault="007F7AD4" w:rsidP="002B4298">
      <w:pPr>
        <w:spacing w:after="0"/>
      </w:pPr>
      <w:r>
        <w:separator/>
      </w:r>
    </w:p>
  </w:footnote>
  <w:footnote w:type="continuationSeparator" w:id="0">
    <w:p w14:paraId="2CC18EC7" w14:textId="77777777" w:rsidR="007F7AD4" w:rsidRDefault="007F7AD4" w:rsidP="002B4298">
      <w:pPr>
        <w:spacing w:after="0"/>
      </w:pPr>
      <w:r>
        <w:continuationSeparator/>
      </w:r>
    </w:p>
  </w:footnote>
  <w:footnote w:type="continuationNotice" w:id="1">
    <w:p w14:paraId="4995B349" w14:textId="77777777" w:rsidR="007F7AD4" w:rsidRDefault="007F7A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252C20"/>
    <w:multiLevelType w:val="hybridMultilevel"/>
    <w:tmpl w:val="4F68B4FC"/>
    <w:lvl w:ilvl="0" w:tplc="FE7454BE">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F284F"/>
    <w:multiLevelType w:val="hybridMultilevel"/>
    <w:tmpl w:val="98FEDD86"/>
    <w:lvl w:ilvl="0" w:tplc="BC00F24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6"/>
  </w:num>
  <w:num w:numId="2">
    <w:abstractNumId w:val="10"/>
  </w:num>
  <w:num w:numId="3">
    <w:abstractNumId w:val="17"/>
  </w:num>
  <w:num w:numId="4">
    <w:abstractNumId w:val="2"/>
  </w:num>
  <w:num w:numId="5">
    <w:abstractNumId w:val="22"/>
  </w:num>
  <w:num w:numId="6">
    <w:abstractNumId w:val="7"/>
  </w:num>
  <w:num w:numId="7">
    <w:abstractNumId w:val="21"/>
  </w:num>
  <w:num w:numId="8">
    <w:abstractNumId w:val="20"/>
  </w:num>
  <w:num w:numId="9">
    <w:abstractNumId w:val="0"/>
  </w:num>
  <w:num w:numId="10">
    <w:abstractNumId w:val="11"/>
  </w:num>
  <w:num w:numId="11">
    <w:abstractNumId w:val="24"/>
  </w:num>
  <w:num w:numId="12">
    <w:abstractNumId w:val="12"/>
  </w:num>
  <w:num w:numId="13">
    <w:abstractNumId w:val="13"/>
  </w:num>
  <w:num w:numId="14">
    <w:abstractNumId w:val="18"/>
  </w:num>
  <w:num w:numId="15">
    <w:abstractNumId w:val="6"/>
  </w:num>
  <w:num w:numId="16">
    <w:abstractNumId w:val="14"/>
  </w:num>
  <w:num w:numId="17">
    <w:abstractNumId w:val="8"/>
  </w:num>
  <w:num w:numId="18">
    <w:abstractNumId w:val="1"/>
  </w:num>
  <w:num w:numId="19">
    <w:abstractNumId w:val="3"/>
  </w:num>
  <w:num w:numId="20">
    <w:abstractNumId w:val="4"/>
  </w:num>
  <w:num w:numId="21">
    <w:abstractNumId w:val="23"/>
  </w:num>
  <w:num w:numId="22">
    <w:abstractNumId w:val="5"/>
  </w:num>
  <w:num w:numId="23">
    <w:abstractNumId w:val="15"/>
  </w:num>
  <w:num w:numId="24">
    <w:abstractNumId w:val="19"/>
  </w:num>
  <w:num w:numId="25">
    <w:abstractNumId w:val="5"/>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7AE"/>
    <w:rsid w:val="0001493C"/>
    <w:rsid w:val="00022088"/>
    <w:rsid w:val="000232D1"/>
    <w:rsid w:val="00034328"/>
    <w:rsid w:val="000344F3"/>
    <w:rsid w:val="000624E1"/>
    <w:rsid w:val="000703C5"/>
    <w:rsid w:val="00077571"/>
    <w:rsid w:val="000A5B2A"/>
    <w:rsid w:val="000B300C"/>
    <w:rsid w:val="000B3310"/>
    <w:rsid w:val="000C07B8"/>
    <w:rsid w:val="000C3C06"/>
    <w:rsid w:val="000E1C58"/>
    <w:rsid w:val="00146328"/>
    <w:rsid w:val="00163442"/>
    <w:rsid w:val="001675B5"/>
    <w:rsid w:val="00177913"/>
    <w:rsid w:val="0018030D"/>
    <w:rsid w:val="00182502"/>
    <w:rsid w:val="001849BB"/>
    <w:rsid w:val="00193405"/>
    <w:rsid w:val="001A0642"/>
    <w:rsid w:val="001D6F21"/>
    <w:rsid w:val="001E3805"/>
    <w:rsid w:val="001E4AB1"/>
    <w:rsid w:val="001F40FB"/>
    <w:rsid w:val="00216202"/>
    <w:rsid w:val="00216394"/>
    <w:rsid w:val="00227A90"/>
    <w:rsid w:val="002336BE"/>
    <w:rsid w:val="0023743F"/>
    <w:rsid w:val="002547A4"/>
    <w:rsid w:val="00262856"/>
    <w:rsid w:val="00272A0E"/>
    <w:rsid w:val="002954A9"/>
    <w:rsid w:val="002B4298"/>
    <w:rsid w:val="002B6F3D"/>
    <w:rsid w:val="002C358E"/>
    <w:rsid w:val="002D248C"/>
    <w:rsid w:val="002D3D5D"/>
    <w:rsid w:val="002D648D"/>
    <w:rsid w:val="002F0C43"/>
    <w:rsid w:val="00300A80"/>
    <w:rsid w:val="00310F74"/>
    <w:rsid w:val="003442F1"/>
    <w:rsid w:val="00347A91"/>
    <w:rsid w:val="0039745B"/>
    <w:rsid w:val="003A17E3"/>
    <w:rsid w:val="003A2906"/>
    <w:rsid w:val="003B6D12"/>
    <w:rsid w:val="003C3CB2"/>
    <w:rsid w:val="003C657B"/>
    <w:rsid w:val="003D6CED"/>
    <w:rsid w:val="003F24A8"/>
    <w:rsid w:val="003F5247"/>
    <w:rsid w:val="004031C8"/>
    <w:rsid w:val="0040652A"/>
    <w:rsid w:val="00415208"/>
    <w:rsid w:val="00417938"/>
    <w:rsid w:val="0044073B"/>
    <w:rsid w:val="00447104"/>
    <w:rsid w:val="004513A0"/>
    <w:rsid w:val="004533AD"/>
    <w:rsid w:val="004704E8"/>
    <w:rsid w:val="00483054"/>
    <w:rsid w:val="0049630A"/>
    <w:rsid w:val="004A0B44"/>
    <w:rsid w:val="004A38D7"/>
    <w:rsid w:val="004A47C5"/>
    <w:rsid w:val="004A5767"/>
    <w:rsid w:val="004A6E2C"/>
    <w:rsid w:val="004C3E72"/>
    <w:rsid w:val="004D3239"/>
    <w:rsid w:val="005141F9"/>
    <w:rsid w:val="00553802"/>
    <w:rsid w:val="00560358"/>
    <w:rsid w:val="0058695E"/>
    <w:rsid w:val="005A6F2B"/>
    <w:rsid w:val="005C0140"/>
    <w:rsid w:val="005D091D"/>
    <w:rsid w:val="005D7567"/>
    <w:rsid w:val="005E23F2"/>
    <w:rsid w:val="005E2DF7"/>
    <w:rsid w:val="005E4FF1"/>
    <w:rsid w:val="005F6926"/>
    <w:rsid w:val="006109D3"/>
    <w:rsid w:val="006137F9"/>
    <w:rsid w:val="00614065"/>
    <w:rsid w:val="00617EA4"/>
    <w:rsid w:val="006269B1"/>
    <w:rsid w:val="00635E5C"/>
    <w:rsid w:val="00651EF2"/>
    <w:rsid w:val="00666D2E"/>
    <w:rsid w:val="0068521E"/>
    <w:rsid w:val="00685CFF"/>
    <w:rsid w:val="006A24D6"/>
    <w:rsid w:val="006A6BA4"/>
    <w:rsid w:val="006A727A"/>
    <w:rsid w:val="006B3C03"/>
    <w:rsid w:val="006C53A8"/>
    <w:rsid w:val="006E4E3E"/>
    <w:rsid w:val="006E7836"/>
    <w:rsid w:val="00711448"/>
    <w:rsid w:val="007133A6"/>
    <w:rsid w:val="007230C3"/>
    <w:rsid w:val="00724D1A"/>
    <w:rsid w:val="00747452"/>
    <w:rsid w:val="0076571F"/>
    <w:rsid w:val="0077526B"/>
    <w:rsid w:val="00780218"/>
    <w:rsid w:val="00786563"/>
    <w:rsid w:val="00787807"/>
    <w:rsid w:val="00791EAA"/>
    <w:rsid w:val="007A3AFC"/>
    <w:rsid w:val="007C3DBC"/>
    <w:rsid w:val="007E2181"/>
    <w:rsid w:val="007E348D"/>
    <w:rsid w:val="007F7AD4"/>
    <w:rsid w:val="008009A5"/>
    <w:rsid w:val="00803A64"/>
    <w:rsid w:val="008133BF"/>
    <w:rsid w:val="0081473C"/>
    <w:rsid w:val="00827621"/>
    <w:rsid w:val="00851D17"/>
    <w:rsid w:val="008820E1"/>
    <w:rsid w:val="008B0CB2"/>
    <w:rsid w:val="008B3A38"/>
    <w:rsid w:val="008D47AA"/>
    <w:rsid w:val="008E5025"/>
    <w:rsid w:val="008F3FBA"/>
    <w:rsid w:val="00903065"/>
    <w:rsid w:val="00911D12"/>
    <w:rsid w:val="009339C5"/>
    <w:rsid w:val="00945836"/>
    <w:rsid w:val="00955DEB"/>
    <w:rsid w:val="00960E6B"/>
    <w:rsid w:val="00963CAF"/>
    <w:rsid w:val="00974924"/>
    <w:rsid w:val="009758FE"/>
    <w:rsid w:val="00984068"/>
    <w:rsid w:val="009849B1"/>
    <w:rsid w:val="00986061"/>
    <w:rsid w:val="00987F5B"/>
    <w:rsid w:val="00990DE8"/>
    <w:rsid w:val="009C5688"/>
    <w:rsid w:val="009E1DAC"/>
    <w:rsid w:val="009F00B6"/>
    <w:rsid w:val="00A02E41"/>
    <w:rsid w:val="00A04B5E"/>
    <w:rsid w:val="00A51804"/>
    <w:rsid w:val="00A625E0"/>
    <w:rsid w:val="00A917AE"/>
    <w:rsid w:val="00A9233B"/>
    <w:rsid w:val="00A94A66"/>
    <w:rsid w:val="00AB7335"/>
    <w:rsid w:val="00AC08C6"/>
    <w:rsid w:val="00AE67AF"/>
    <w:rsid w:val="00B13D06"/>
    <w:rsid w:val="00B15DD1"/>
    <w:rsid w:val="00B1675A"/>
    <w:rsid w:val="00B23BA8"/>
    <w:rsid w:val="00B34563"/>
    <w:rsid w:val="00B42B20"/>
    <w:rsid w:val="00B45882"/>
    <w:rsid w:val="00B62820"/>
    <w:rsid w:val="00B77186"/>
    <w:rsid w:val="00B85DD7"/>
    <w:rsid w:val="00BA1224"/>
    <w:rsid w:val="00BA68FA"/>
    <w:rsid w:val="00BB1F3A"/>
    <w:rsid w:val="00BD17DC"/>
    <w:rsid w:val="00BE2ADE"/>
    <w:rsid w:val="00C11F4A"/>
    <w:rsid w:val="00C27BBF"/>
    <w:rsid w:val="00C6288C"/>
    <w:rsid w:val="00C63D9A"/>
    <w:rsid w:val="00C71AA9"/>
    <w:rsid w:val="00C821E4"/>
    <w:rsid w:val="00CA07A0"/>
    <w:rsid w:val="00CB1188"/>
    <w:rsid w:val="00CB47DE"/>
    <w:rsid w:val="00CC10CA"/>
    <w:rsid w:val="00CC5F2C"/>
    <w:rsid w:val="00CE4D50"/>
    <w:rsid w:val="00CE5893"/>
    <w:rsid w:val="00CF27EA"/>
    <w:rsid w:val="00CF73B0"/>
    <w:rsid w:val="00D10F66"/>
    <w:rsid w:val="00D1119A"/>
    <w:rsid w:val="00D16A39"/>
    <w:rsid w:val="00D17D13"/>
    <w:rsid w:val="00D23855"/>
    <w:rsid w:val="00D35E26"/>
    <w:rsid w:val="00D36114"/>
    <w:rsid w:val="00D50505"/>
    <w:rsid w:val="00D61129"/>
    <w:rsid w:val="00D679BC"/>
    <w:rsid w:val="00D71F11"/>
    <w:rsid w:val="00D87106"/>
    <w:rsid w:val="00DA0AF8"/>
    <w:rsid w:val="00DA3AAB"/>
    <w:rsid w:val="00DB08A3"/>
    <w:rsid w:val="00DB78D3"/>
    <w:rsid w:val="00DC0349"/>
    <w:rsid w:val="00DC0FF1"/>
    <w:rsid w:val="00DC436A"/>
    <w:rsid w:val="00DD3FF6"/>
    <w:rsid w:val="00DD6DF4"/>
    <w:rsid w:val="00DE4CA8"/>
    <w:rsid w:val="00DE6A95"/>
    <w:rsid w:val="00DF2D10"/>
    <w:rsid w:val="00DF6C7D"/>
    <w:rsid w:val="00E04F24"/>
    <w:rsid w:val="00E053DA"/>
    <w:rsid w:val="00E13E61"/>
    <w:rsid w:val="00E87013"/>
    <w:rsid w:val="00ED0959"/>
    <w:rsid w:val="00EF461C"/>
    <w:rsid w:val="00F06440"/>
    <w:rsid w:val="00F2498F"/>
    <w:rsid w:val="00F24A2F"/>
    <w:rsid w:val="00F32770"/>
    <w:rsid w:val="00F45711"/>
    <w:rsid w:val="00F476B3"/>
    <w:rsid w:val="00F71328"/>
    <w:rsid w:val="00F75C12"/>
    <w:rsid w:val="00F77119"/>
    <w:rsid w:val="00FC25AC"/>
    <w:rsid w:val="00FE2320"/>
    <w:rsid w:val="00FE7233"/>
    <w:rsid w:val="00FE7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 w:type="paragraph" w:customStyle="1" w:styleId="PL">
    <w:name w:val="PL"/>
    <w:link w:val="PLChar"/>
    <w:qFormat/>
    <w:rsid w:val="00F24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F2498F"/>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F2498F"/>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F2498F"/>
    <w:rPr>
      <w:rFonts w:ascii="Arial" w:eastAsia="Times New Roman" w:hAnsi="Arial" w:cs="Times New Roman"/>
      <w:b/>
      <w:sz w:val="20"/>
      <w:szCs w:val="20"/>
      <w:lang w:val="x-none" w:eastAsia="x-none"/>
    </w:rPr>
  </w:style>
  <w:style w:type="paragraph" w:customStyle="1" w:styleId="B1">
    <w:name w:val="B1"/>
    <w:basedOn w:val="Normal"/>
    <w:link w:val="B1Char1"/>
    <w:qFormat/>
    <w:rsid w:val="00F2498F"/>
    <w:pPr>
      <w:ind w:left="568" w:hanging="284"/>
    </w:pPr>
  </w:style>
  <w:style w:type="paragraph" w:customStyle="1" w:styleId="B3">
    <w:name w:val="B3"/>
    <w:basedOn w:val="Normal"/>
    <w:rsid w:val="00F2498F"/>
    <w:pPr>
      <w:ind w:left="1135" w:hanging="284"/>
    </w:pPr>
  </w:style>
  <w:style w:type="character" w:customStyle="1" w:styleId="B1Char1">
    <w:name w:val="B1 Char1"/>
    <w:link w:val="B1"/>
    <w:rsid w:val="00F2498F"/>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CE5893"/>
    <w:rPr>
      <w:color w:val="808080"/>
    </w:rPr>
  </w:style>
  <w:style w:type="paragraph" w:styleId="Caption">
    <w:name w:val="caption"/>
    <w:basedOn w:val="Normal"/>
    <w:next w:val="Normal"/>
    <w:uiPriority w:val="35"/>
    <w:unhideWhenUsed/>
    <w:qFormat/>
    <w:rsid w:val="004A38D7"/>
    <w:pPr>
      <w:spacing w:after="200"/>
    </w:pPr>
    <w:rPr>
      <w:i/>
      <w:iCs/>
      <w:color w:val="44546A" w:themeColor="text2"/>
      <w:sz w:val="18"/>
      <w:szCs w:val="18"/>
    </w:rPr>
  </w:style>
  <w:style w:type="paragraph" w:styleId="Revision">
    <w:name w:val="Revision"/>
    <w:hidden/>
    <w:uiPriority w:val="99"/>
    <w:semiHidden/>
    <w:rsid w:val="006E7836"/>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4F24"/>
    <w:rPr>
      <w:b/>
      <w:bCs/>
    </w:rPr>
  </w:style>
  <w:style w:type="character" w:customStyle="1" w:styleId="CommentSubjectChar">
    <w:name w:val="Comment Subject Char"/>
    <w:basedOn w:val="CommentTextChar"/>
    <w:link w:val="CommentSubject"/>
    <w:uiPriority w:val="99"/>
    <w:semiHidden/>
    <w:rsid w:val="00E04F24"/>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4533AD"/>
    <w:pPr>
      <w:tabs>
        <w:tab w:val="center" w:pos="4680"/>
        <w:tab w:val="right" w:pos="9360"/>
      </w:tabs>
      <w:spacing w:after="0"/>
    </w:pPr>
  </w:style>
  <w:style w:type="character" w:customStyle="1" w:styleId="HeaderChar">
    <w:name w:val="Header Char"/>
    <w:basedOn w:val="DefaultParagraphFont"/>
    <w:link w:val="Header"/>
    <w:uiPriority w:val="99"/>
    <w:semiHidden/>
    <w:rsid w:val="004533AD"/>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4533AD"/>
    <w:pPr>
      <w:tabs>
        <w:tab w:val="center" w:pos="4680"/>
        <w:tab w:val="right" w:pos="9360"/>
      </w:tabs>
      <w:spacing w:after="0"/>
    </w:pPr>
  </w:style>
  <w:style w:type="character" w:customStyle="1" w:styleId="FooterChar">
    <w:name w:val="Footer Char"/>
    <w:basedOn w:val="DefaultParagraphFont"/>
    <w:link w:val="Footer"/>
    <w:uiPriority w:val="99"/>
    <w:semiHidden/>
    <w:rsid w:val="004533A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649995">
      <w:bodyDiv w:val="1"/>
      <w:marLeft w:val="0"/>
      <w:marRight w:val="0"/>
      <w:marTop w:val="0"/>
      <w:marBottom w:val="0"/>
      <w:divBdr>
        <w:top w:val="none" w:sz="0" w:space="0" w:color="auto"/>
        <w:left w:val="none" w:sz="0" w:space="0" w:color="auto"/>
        <w:bottom w:val="none" w:sz="0" w:space="0" w:color="auto"/>
        <w:right w:val="none" w:sz="0" w:space="0" w:color="auto"/>
      </w:divBdr>
    </w:div>
    <w:div w:id="865798306">
      <w:bodyDiv w:val="1"/>
      <w:marLeft w:val="0"/>
      <w:marRight w:val="0"/>
      <w:marTop w:val="0"/>
      <w:marBottom w:val="0"/>
      <w:divBdr>
        <w:top w:val="none" w:sz="0" w:space="0" w:color="auto"/>
        <w:left w:val="none" w:sz="0" w:space="0" w:color="auto"/>
        <w:bottom w:val="none" w:sz="0" w:space="0" w:color="auto"/>
        <w:right w:val="none" w:sz="0" w:space="0" w:color="auto"/>
      </w:divBdr>
    </w:div>
    <w:div w:id="1091195304">
      <w:bodyDiv w:val="1"/>
      <w:marLeft w:val="0"/>
      <w:marRight w:val="0"/>
      <w:marTop w:val="0"/>
      <w:marBottom w:val="0"/>
      <w:divBdr>
        <w:top w:val="none" w:sz="0" w:space="0" w:color="auto"/>
        <w:left w:val="none" w:sz="0" w:space="0" w:color="auto"/>
        <w:bottom w:val="none" w:sz="0" w:space="0" w:color="auto"/>
        <w:right w:val="none" w:sz="0" w:space="0" w:color="auto"/>
      </w:divBdr>
    </w:div>
    <w:div w:id="190829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5.jpg@01D55F4D.7F45F7B0"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cid:image002.png@01D54C80.9AC6EAB0" TargetMode="Externa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SRVZ567275SS-924214940-554</_dlc_DocId>
    <_dlc_DocIdUrl xmlns="932dab1a-f806-440a-b546-5f112cb4e652">
      <Url>https://projects.qualcomm.com/sites/libra/_layouts/15/DocIdRedir.aspx?ID=SRVZ567275SS-924214940-554</Url>
      <Description>SRVZ567275SS-924214940-554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A4E71-C378-46AD-88F8-D86B432B26C9}">
  <ds:schemaRefs>
    <ds:schemaRef ds:uri="http://schemas.microsoft.com/sharepoint/events"/>
  </ds:schemaRefs>
</ds:datastoreItem>
</file>

<file path=customXml/itemProps2.xml><?xml version="1.0" encoding="utf-8"?>
<ds:datastoreItem xmlns:ds="http://schemas.openxmlformats.org/officeDocument/2006/customXml" ds:itemID="{8237AD84-9901-40ED-9BE2-526B51F13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B54AF-3FAF-498D-85B0-CE81C47A6BBF}">
  <ds:schemaRefs>
    <ds:schemaRef ds:uri="http://schemas.microsoft.com/office/2006/metadata/properties"/>
    <ds:schemaRef ds:uri="http://schemas.microsoft.com/office/2006/documentManagement/types"/>
    <ds:schemaRef ds:uri="http://purl.org/dc/terms/"/>
    <ds:schemaRef ds:uri="932dab1a-f806-440a-b546-5f112cb4e652"/>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3427AFB-C3D2-4C6C-9880-438E6FACB9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8</Pages>
  <Words>2565</Words>
  <Characters>14623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Sudhir Baghel</dc:creator>
  <cp:keywords/>
  <dc:description/>
  <cp:lastModifiedBy>Shuanshuan Wu</cp:lastModifiedBy>
  <cp:revision>36</cp:revision>
  <dcterms:created xsi:type="dcterms:W3CDTF">2019-08-16T20:57:00Z</dcterms:created>
  <dcterms:modified xsi:type="dcterms:W3CDTF">2019-10-07T21:07:00Z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99d310c3-b892-4101-af89-264a90eda8c2</vt:lpwstr>
  </property>
</Properties>
</file>